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971400916"/>
        <w:docPartObj>
          <w:docPartGallery w:val="Cover Pages"/>
          <w:docPartUnique/>
        </w:docPartObj>
      </w:sdtPr>
      <w:sdtEndPr>
        <w:rPr>
          <w:b/>
          <w:sz w:val="20"/>
          <w:u w:val="single"/>
        </w:rPr>
      </w:sdtEndPr>
      <w:sdtContent>
        <w:bookmarkStart w:id="0" w:name="TOC" w:displacedByCustomXml="prev"/>
        <w:p w:rsidR="00CA6AEB" w:rsidRDefault="00BD6F2F" w:rsidP="003616C1">
          <w:pPr>
            <w:jc w:val="center"/>
          </w:pPr>
          <w:r>
            <w:rPr>
              <w:b/>
            </w:rPr>
            <w:fldChar w:fldCharType="begin"/>
          </w:r>
          <w:r>
            <w:rPr>
              <w:b/>
            </w:rPr>
            <w:instrText xml:space="preserve"> HYPERLINK  \l "TOC" </w:instrText>
          </w:r>
          <w:r>
            <w:rPr>
              <w:b/>
            </w:rPr>
            <w:fldChar w:fldCharType="separate"/>
          </w:r>
          <w:r w:rsidR="003616C1" w:rsidRPr="00BD6F2F">
            <w:rPr>
              <w:rStyle w:val="Hyperlink"/>
            </w:rPr>
            <w:t>TABLE OF CONTENTS</w:t>
          </w:r>
          <w:bookmarkEnd w:id="0"/>
          <w:r>
            <w:rPr>
              <w:b/>
            </w:rPr>
            <w:fldChar w:fldCharType="end"/>
          </w:r>
        </w:p>
        <w:p w:rsidR="00CA6AEB" w:rsidRDefault="00CA6AEB"/>
        <w:p w:rsidR="00CA6AEB" w:rsidRDefault="00CA6AEB"/>
        <w:p w:rsidR="00CA6AEB" w:rsidRDefault="007841E9">
          <w:hyperlink w:anchor="A" w:history="1">
            <w:r w:rsidR="003616C1" w:rsidRPr="00BD6F2F">
              <w:rPr>
                <w:rStyle w:val="Hyperlink"/>
              </w:rPr>
              <w:t>Appendix A- Glossary</w:t>
            </w:r>
          </w:hyperlink>
        </w:p>
        <w:p w:rsidR="003616C1" w:rsidRPr="00A84C2C" w:rsidRDefault="007841E9" w:rsidP="003616C1">
          <w:hyperlink w:anchor="NESHAPA" w:history="1">
            <w:r w:rsidR="003616C1" w:rsidRPr="00CA2B24">
              <w:rPr>
                <w:rStyle w:val="Hyperlink"/>
              </w:rPr>
              <w:t>Appendix NES</w:t>
            </w:r>
            <w:r w:rsidR="003616C1" w:rsidRPr="00CA2B24">
              <w:rPr>
                <w:rStyle w:val="Hyperlink"/>
              </w:rPr>
              <w:t>H</w:t>
            </w:r>
            <w:r w:rsidR="003616C1" w:rsidRPr="00CA2B24">
              <w:rPr>
                <w:rStyle w:val="Hyperlink"/>
              </w:rPr>
              <w:t>AP, Subpart A – General Provisions.</w:t>
            </w:r>
          </w:hyperlink>
        </w:p>
        <w:p w:rsidR="003616C1" w:rsidRPr="00A84C2C" w:rsidRDefault="003616C1" w:rsidP="003616C1">
          <w:r w:rsidRPr="00A84C2C">
            <w:t xml:space="preserve">Appendix NESHAP, </w:t>
          </w:r>
          <w:hyperlink w:anchor="GG" w:history="1">
            <w:r w:rsidRPr="00A62117">
              <w:rPr>
                <w:rStyle w:val="Hyperlink"/>
              </w:rPr>
              <w:t>GG</w:t>
            </w:r>
          </w:hyperlink>
          <w:r w:rsidRPr="00A84C2C">
            <w:t xml:space="preserve"> and </w:t>
          </w:r>
          <w:hyperlink w:anchor="ZZZZ" w:history="1">
            <w:r w:rsidRPr="00864D72">
              <w:rPr>
                <w:rStyle w:val="Hyperlink"/>
              </w:rPr>
              <w:t>ZZZZ</w:t>
            </w:r>
          </w:hyperlink>
        </w:p>
        <w:p w:rsidR="003616C1" w:rsidRDefault="007841E9" w:rsidP="003616C1">
          <w:hyperlink w:anchor="RR" w:history="1">
            <w:r w:rsidR="003616C1" w:rsidRPr="00864D72">
              <w:rPr>
                <w:rStyle w:val="Hyperlink"/>
              </w:rPr>
              <w:t>Appendix RR, Facility-</w:t>
            </w:r>
            <w:r w:rsidR="003616C1" w:rsidRPr="00864D72">
              <w:rPr>
                <w:rStyle w:val="Hyperlink"/>
              </w:rPr>
              <w:t>w</w:t>
            </w:r>
            <w:r w:rsidR="003616C1" w:rsidRPr="00864D72">
              <w:rPr>
                <w:rStyle w:val="Hyperlink"/>
              </w:rPr>
              <w:t>ide Reporting Requirements</w:t>
            </w:r>
          </w:hyperlink>
          <w:r w:rsidR="003616C1">
            <w:t>.</w:t>
          </w:r>
        </w:p>
        <w:p w:rsidR="003616C1" w:rsidRDefault="007841E9" w:rsidP="003616C1">
          <w:hyperlink w:anchor="TR" w:history="1">
            <w:r w:rsidR="003616C1" w:rsidRPr="00864D72">
              <w:rPr>
                <w:rStyle w:val="Hyperlink"/>
              </w:rPr>
              <w:t xml:space="preserve">Appendix TR, </w:t>
            </w:r>
            <w:bookmarkStart w:id="1" w:name="OLE_LINK1"/>
            <w:bookmarkStart w:id="2" w:name="OLE_LINK2"/>
            <w:r w:rsidR="003616C1" w:rsidRPr="00864D72">
              <w:rPr>
                <w:rStyle w:val="Hyperlink"/>
              </w:rPr>
              <w:t>Facility-wide Testing Requirements.</w:t>
            </w:r>
            <w:bookmarkEnd w:id="1"/>
            <w:bookmarkEnd w:id="2"/>
          </w:hyperlink>
        </w:p>
        <w:p w:rsidR="003616C1" w:rsidRDefault="007841E9" w:rsidP="003616C1">
          <w:hyperlink w:anchor="TV" w:history="1">
            <w:r w:rsidR="003616C1" w:rsidRPr="00864D72">
              <w:rPr>
                <w:rStyle w:val="Hyperlink"/>
              </w:rPr>
              <w:t>Appendix TV, Title</w:t>
            </w:r>
            <w:r w:rsidR="003616C1" w:rsidRPr="00864D72">
              <w:rPr>
                <w:rStyle w:val="Hyperlink"/>
              </w:rPr>
              <w:t xml:space="preserve"> </w:t>
            </w:r>
            <w:r w:rsidR="003616C1" w:rsidRPr="00864D72">
              <w:rPr>
                <w:rStyle w:val="Hyperlink"/>
              </w:rPr>
              <w:t>V General Conditions.</w:t>
            </w:r>
          </w:hyperlink>
        </w:p>
        <w:p w:rsidR="00CA6AEB" w:rsidRDefault="007841E9" w:rsidP="003616C1">
          <w:hyperlink w:anchor="U" w:history="1">
            <w:r w:rsidR="003616C1" w:rsidRPr="00864D72">
              <w:rPr>
                <w:rStyle w:val="Hyperlink"/>
              </w:rPr>
              <w:t>Appendix U, List of Unregulated Emissions Units and/or Activities.</w:t>
            </w:r>
          </w:hyperlink>
        </w:p>
        <w:p w:rsidR="003616C1" w:rsidRDefault="007841E9" w:rsidP="003616C1">
          <w:hyperlink w:anchor="H" w:history="1">
            <w:r w:rsidR="003616C1" w:rsidRPr="003A5326">
              <w:rPr>
                <w:rStyle w:val="Hyperlink"/>
              </w:rPr>
              <w:t>Table H, Permit H</w:t>
            </w:r>
            <w:r w:rsidR="003616C1" w:rsidRPr="003A5326">
              <w:rPr>
                <w:rStyle w:val="Hyperlink"/>
              </w:rPr>
              <w:t>i</w:t>
            </w:r>
            <w:r w:rsidR="003616C1" w:rsidRPr="003A5326">
              <w:rPr>
                <w:rStyle w:val="Hyperlink"/>
              </w:rPr>
              <w:t>story.</w:t>
            </w:r>
          </w:hyperlink>
        </w:p>
        <w:p w:rsidR="00CA6AEB" w:rsidRDefault="00CA6AEB" w:rsidP="003616C1"/>
        <w:p w:rsidR="00CA6AEB" w:rsidRDefault="00CA6AEB"/>
        <w:p w:rsidR="00CA6AEB" w:rsidRDefault="00CA6AEB"/>
        <w:p w:rsidR="00CA6AEB" w:rsidRDefault="00CA6AEB"/>
        <w:p w:rsidR="00CA6AEB" w:rsidRDefault="00CA6AEB">
          <w:pPr>
            <w:rPr>
              <w:b/>
              <w:sz w:val="20"/>
              <w:u w:val="single"/>
            </w:rPr>
          </w:pPr>
          <w:r>
            <w:rPr>
              <w:b/>
              <w:sz w:val="20"/>
              <w:u w:val="single"/>
            </w:rPr>
            <w:br w:type="page"/>
          </w:r>
        </w:p>
      </w:sdtContent>
    </w:sdt>
    <w:p w:rsidR="00800F2E" w:rsidRPr="0025007A" w:rsidRDefault="00800F2E" w:rsidP="001227F7">
      <w:pPr>
        <w:tabs>
          <w:tab w:val="left" w:pos="9540"/>
        </w:tabs>
        <w:spacing w:after="120"/>
        <w:rPr>
          <w:b/>
          <w:sz w:val="20"/>
        </w:rPr>
      </w:pPr>
      <w:bookmarkStart w:id="3" w:name="A"/>
      <w:r w:rsidRPr="0025007A">
        <w:rPr>
          <w:b/>
          <w:sz w:val="20"/>
          <w:u w:val="single"/>
        </w:rPr>
        <w:lastRenderedPageBreak/>
        <w:t>Abbreviations and Acronym</w:t>
      </w:r>
      <w:bookmarkEnd w:id="3"/>
      <w:r w:rsidRPr="0025007A">
        <w:rPr>
          <w:b/>
          <w:sz w:val="20"/>
          <w:u w:val="single"/>
        </w:rPr>
        <w:t>s</w:t>
      </w:r>
      <w:r w:rsidRPr="0025007A">
        <w:rPr>
          <w:b/>
          <w:sz w:val="20"/>
        </w:rPr>
        <w:t>:</w:t>
      </w:r>
    </w:p>
    <w:p w:rsidR="00800F2E" w:rsidRPr="0025007A" w:rsidRDefault="00800F2E" w:rsidP="001227F7">
      <w:pPr>
        <w:tabs>
          <w:tab w:val="left" w:pos="9540"/>
        </w:tabs>
        <w:spacing w:after="30"/>
        <w:rPr>
          <w:sz w:val="20"/>
        </w:rPr>
      </w:pPr>
      <w:r w:rsidRPr="0025007A">
        <w:rPr>
          <w:b/>
          <w:sz w:val="20"/>
        </w:rPr>
        <w:t>°F</w:t>
      </w:r>
      <w:r w:rsidRPr="0025007A">
        <w:rPr>
          <w:sz w:val="20"/>
        </w:rPr>
        <w:t>:  degrees Fahrenheit</w:t>
      </w:r>
    </w:p>
    <w:p w:rsidR="00800F2E" w:rsidRPr="0025007A" w:rsidRDefault="00800F2E" w:rsidP="001227F7">
      <w:pPr>
        <w:spacing w:after="30"/>
        <w:rPr>
          <w:sz w:val="20"/>
        </w:rPr>
      </w:pPr>
      <w:r w:rsidRPr="0025007A">
        <w:rPr>
          <w:b/>
          <w:sz w:val="20"/>
        </w:rPr>
        <w:t>acfm</w:t>
      </w:r>
      <w:r w:rsidRPr="0025007A">
        <w:rPr>
          <w:sz w:val="20"/>
        </w:rPr>
        <w:t>:  actual cubic feet per minute</w:t>
      </w:r>
    </w:p>
    <w:p w:rsidR="00800F2E" w:rsidRPr="0025007A" w:rsidRDefault="00800F2E" w:rsidP="001227F7">
      <w:pPr>
        <w:spacing w:after="30"/>
        <w:rPr>
          <w:b/>
          <w:sz w:val="20"/>
        </w:rPr>
      </w:pPr>
      <w:r w:rsidRPr="0025007A">
        <w:rPr>
          <w:b/>
          <w:sz w:val="20"/>
        </w:rPr>
        <w:t>AOR</w:t>
      </w:r>
      <w:r w:rsidRPr="0025007A">
        <w:rPr>
          <w:sz w:val="20"/>
        </w:rPr>
        <w:t>:  Annual Operating Report</w:t>
      </w:r>
    </w:p>
    <w:p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rsidR="00800F2E" w:rsidRPr="0025007A" w:rsidRDefault="00800F2E" w:rsidP="001227F7">
      <w:pPr>
        <w:spacing w:after="30"/>
        <w:rPr>
          <w:sz w:val="20"/>
        </w:rPr>
      </w:pPr>
      <w:r w:rsidRPr="0025007A">
        <w:rPr>
          <w:b/>
          <w:sz w:val="20"/>
        </w:rPr>
        <w:t>BACT</w:t>
      </w:r>
      <w:r w:rsidRPr="0025007A">
        <w:rPr>
          <w:sz w:val="20"/>
        </w:rPr>
        <w:t>:  best available control technology</w:t>
      </w:r>
    </w:p>
    <w:p w:rsidR="00800F2E" w:rsidRPr="0025007A" w:rsidRDefault="00800F2E" w:rsidP="001227F7">
      <w:pPr>
        <w:spacing w:after="30"/>
        <w:rPr>
          <w:sz w:val="20"/>
        </w:rPr>
      </w:pPr>
      <w:r w:rsidRPr="0025007A">
        <w:rPr>
          <w:b/>
          <w:sz w:val="20"/>
        </w:rPr>
        <w:t>BHP</w:t>
      </w:r>
      <w:r w:rsidRPr="0025007A">
        <w:rPr>
          <w:sz w:val="20"/>
        </w:rPr>
        <w:t>:  brake horsepower</w:t>
      </w:r>
    </w:p>
    <w:p w:rsidR="00800F2E" w:rsidRPr="0025007A" w:rsidRDefault="00800F2E" w:rsidP="001227F7">
      <w:pPr>
        <w:spacing w:after="30"/>
        <w:rPr>
          <w:sz w:val="20"/>
        </w:rPr>
      </w:pPr>
      <w:r w:rsidRPr="0025007A">
        <w:rPr>
          <w:b/>
          <w:sz w:val="20"/>
        </w:rPr>
        <w:t>Btu</w:t>
      </w:r>
      <w:r w:rsidRPr="0025007A">
        <w:rPr>
          <w:sz w:val="20"/>
        </w:rPr>
        <w:t>:  British thermal units</w:t>
      </w:r>
    </w:p>
    <w:p w:rsidR="00800F2E" w:rsidRPr="0025007A" w:rsidRDefault="00800F2E" w:rsidP="001227F7">
      <w:pPr>
        <w:spacing w:after="30"/>
        <w:rPr>
          <w:sz w:val="20"/>
        </w:rPr>
      </w:pPr>
      <w:r w:rsidRPr="0025007A">
        <w:rPr>
          <w:b/>
          <w:sz w:val="20"/>
        </w:rPr>
        <w:t>CAA</w:t>
      </w:r>
      <w:r w:rsidRPr="0025007A">
        <w:rPr>
          <w:sz w:val="20"/>
        </w:rPr>
        <w:t>:  Clean Air Act</w:t>
      </w:r>
    </w:p>
    <w:p w:rsidR="00800F2E" w:rsidRPr="0025007A" w:rsidRDefault="00800F2E" w:rsidP="001227F7">
      <w:pPr>
        <w:spacing w:after="30"/>
        <w:rPr>
          <w:sz w:val="20"/>
        </w:rPr>
      </w:pPr>
      <w:r w:rsidRPr="0025007A">
        <w:rPr>
          <w:b/>
          <w:sz w:val="20"/>
        </w:rPr>
        <w:t>CAAA</w:t>
      </w:r>
      <w:r w:rsidRPr="0025007A">
        <w:rPr>
          <w:sz w:val="20"/>
        </w:rPr>
        <w:t>:  Clean Air Act Amendments of 1990</w:t>
      </w:r>
    </w:p>
    <w:p w:rsidR="00800F2E" w:rsidRPr="0025007A" w:rsidRDefault="00800F2E" w:rsidP="001227F7">
      <w:pPr>
        <w:spacing w:after="30"/>
        <w:rPr>
          <w:sz w:val="20"/>
        </w:rPr>
      </w:pPr>
      <w:r w:rsidRPr="0025007A">
        <w:rPr>
          <w:b/>
          <w:sz w:val="20"/>
        </w:rPr>
        <w:t>CAM</w:t>
      </w:r>
      <w:r w:rsidRPr="0025007A">
        <w:rPr>
          <w:sz w:val="20"/>
        </w:rPr>
        <w:t>:  compliance assurance monitoring</w:t>
      </w:r>
    </w:p>
    <w:p w:rsidR="00800F2E" w:rsidRPr="0025007A" w:rsidRDefault="00800F2E" w:rsidP="001227F7">
      <w:pPr>
        <w:spacing w:after="30"/>
        <w:rPr>
          <w:sz w:val="20"/>
        </w:rPr>
      </w:pPr>
      <w:r w:rsidRPr="0025007A">
        <w:rPr>
          <w:b/>
          <w:sz w:val="20"/>
        </w:rPr>
        <w:t>CEMS</w:t>
      </w:r>
      <w:r w:rsidRPr="0025007A">
        <w:rPr>
          <w:sz w:val="20"/>
        </w:rPr>
        <w:t>:  continuous emissions monitoring system</w:t>
      </w:r>
    </w:p>
    <w:p w:rsidR="00800F2E" w:rsidRPr="0025007A" w:rsidRDefault="00800F2E" w:rsidP="001227F7">
      <w:pPr>
        <w:spacing w:after="30"/>
        <w:rPr>
          <w:sz w:val="20"/>
        </w:rPr>
      </w:pPr>
      <w:r w:rsidRPr="0025007A">
        <w:rPr>
          <w:b/>
          <w:sz w:val="20"/>
        </w:rPr>
        <w:t>cfm</w:t>
      </w:r>
      <w:r w:rsidRPr="0025007A">
        <w:rPr>
          <w:sz w:val="20"/>
        </w:rPr>
        <w:t>:  cubic feet per minute</w:t>
      </w:r>
    </w:p>
    <w:p w:rsidR="00800F2E" w:rsidRPr="0025007A" w:rsidRDefault="00800F2E" w:rsidP="001227F7">
      <w:pPr>
        <w:spacing w:after="30"/>
        <w:rPr>
          <w:sz w:val="20"/>
        </w:rPr>
      </w:pPr>
      <w:r w:rsidRPr="0025007A">
        <w:rPr>
          <w:b/>
          <w:sz w:val="20"/>
        </w:rPr>
        <w:t>CFR</w:t>
      </w:r>
      <w:r w:rsidRPr="0025007A">
        <w:rPr>
          <w:sz w:val="20"/>
        </w:rPr>
        <w:t>:  Code of Federal Regulations</w:t>
      </w:r>
    </w:p>
    <w:p w:rsidR="00800F2E" w:rsidRPr="0025007A" w:rsidRDefault="00800F2E" w:rsidP="001227F7">
      <w:pPr>
        <w:spacing w:after="30"/>
        <w:rPr>
          <w:sz w:val="20"/>
        </w:rPr>
      </w:pPr>
      <w:r w:rsidRPr="0025007A">
        <w:rPr>
          <w:b/>
          <w:sz w:val="20"/>
        </w:rPr>
        <w:t>CI</w:t>
      </w:r>
      <w:r w:rsidRPr="0025007A">
        <w:rPr>
          <w:sz w:val="20"/>
        </w:rPr>
        <w:t>:  compression ignition</w:t>
      </w:r>
    </w:p>
    <w:p w:rsidR="00800F2E" w:rsidRPr="0025007A" w:rsidRDefault="00800F2E" w:rsidP="001227F7">
      <w:pPr>
        <w:spacing w:after="30"/>
        <w:rPr>
          <w:sz w:val="20"/>
        </w:rPr>
      </w:pPr>
      <w:r w:rsidRPr="0025007A">
        <w:rPr>
          <w:b/>
          <w:sz w:val="20"/>
        </w:rPr>
        <w:t>CO</w:t>
      </w:r>
      <w:r w:rsidRPr="0025007A">
        <w:rPr>
          <w:sz w:val="20"/>
        </w:rPr>
        <w:t>:  carbon monoxide</w:t>
      </w:r>
    </w:p>
    <w:p w:rsidR="00800F2E" w:rsidRPr="0025007A" w:rsidRDefault="00800F2E" w:rsidP="001227F7">
      <w:pPr>
        <w:spacing w:after="30"/>
        <w:rPr>
          <w:sz w:val="20"/>
        </w:rPr>
      </w:pPr>
      <w:r w:rsidRPr="0025007A">
        <w:rPr>
          <w:b/>
          <w:sz w:val="20"/>
        </w:rPr>
        <w:t>COMS</w:t>
      </w:r>
      <w:r w:rsidRPr="0025007A">
        <w:rPr>
          <w:sz w:val="20"/>
        </w:rPr>
        <w:t>:  continuous opacity monitoring system</w:t>
      </w:r>
    </w:p>
    <w:p w:rsidR="00800F2E" w:rsidRPr="0025007A" w:rsidRDefault="00800F2E" w:rsidP="001227F7">
      <w:pPr>
        <w:spacing w:after="30"/>
        <w:rPr>
          <w:b/>
          <w:sz w:val="20"/>
        </w:rPr>
      </w:pPr>
      <w:r w:rsidRPr="0025007A">
        <w:rPr>
          <w:b/>
          <w:sz w:val="20"/>
        </w:rPr>
        <w:t>DARM</w:t>
      </w:r>
      <w:r w:rsidRPr="0025007A">
        <w:rPr>
          <w:sz w:val="20"/>
        </w:rPr>
        <w:t>:  Division of Air Resource Management</w:t>
      </w:r>
    </w:p>
    <w:p w:rsidR="00800F2E" w:rsidRPr="0025007A" w:rsidRDefault="00800F2E" w:rsidP="001227F7">
      <w:pPr>
        <w:spacing w:after="30"/>
        <w:rPr>
          <w:b/>
          <w:sz w:val="20"/>
        </w:rPr>
      </w:pPr>
      <w:r w:rsidRPr="0025007A">
        <w:rPr>
          <w:b/>
          <w:sz w:val="20"/>
        </w:rPr>
        <w:t>DCA</w:t>
      </w:r>
      <w:r w:rsidRPr="0025007A">
        <w:rPr>
          <w:sz w:val="20"/>
        </w:rPr>
        <w:t>:  Department of Community Affairs</w:t>
      </w:r>
    </w:p>
    <w:p w:rsidR="00800F2E" w:rsidRPr="0025007A" w:rsidRDefault="00800F2E" w:rsidP="001227F7">
      <w:pPr>
        <w:spacing w:after="30"/>
        <w:rPr>
          <w:sz w:val="20"/>
        </w:rPr>
      </w:pPr>
      <w:r w:rsidRPr="0025007A">
        <w:rPr>
          <w:b/>
          <w:sz w:val="20"/>
        </w:rPr>
        <w:t>DEP</w:t>
      </w:r>
      <w:r w:rsidRPr="0025007A">
        <w:rPr>
          <w:sz w:val="20"/>
        </w:rPr>
        <w:t>:  Department of Environmental Protection</w:t>
      </w:r>
    </w:p>
    <w:p w:rsidR="00800F2E" w:rsidRPr="0025007A" w:rsidRDefault="00800F2E" w:rsidP="001227F7">
      <w:pPr>
        <w:spacing w:after="30"/>
        <w:rPr>
          <w:sz w:val="20"/>
        </w:rPr>
      </w:pPr>
      <w:r w:rsidRPr="0025007A">
        <w:rPr>
          <w:b/>
          <w:sz w:val="20"/>
        </w:rPr>
        <w:t>Department</w:t>
      </w:r>
      <w:r w:rsidRPr="0025007A">
        <w:rPr>
          <w:sz w:val="20"/>
        </w:rPr>
        <w:t>:  Department of Environmental Protection</w:t>
      </w:r>
    </w:p>
    <w:p w:rsidR="00800F2E" w:rsidRPr="0025007A" w:rsidRDefault="00800F2E" w:rsidP="001227F7">
      <w:pPr>
        <w:spacing w:after="30"/>
        <w:rPr>
          <w:sz w:val="20"/>
        </w:rPr>
      </w:pPr>
      <w:r w:rsidRPr="0025007A">
        <w:rPr>
          <w:b/>
          <w:sz w:val="20"/>
        </w:rPr>
        <w:t>dscfm</w:t>
      </w:r>
      <w:r w:rsidRPr="0025007A">
        <w:rPr>
          <w:sz w:val="20"/>
        </w:rPr>
        <w:t>:  dry standard cubic feet per minute</w:t>
      </w:r>
    </w:p>
    <w:p w:rsidR="00800F2E" w:rsidRPr="0025007A" w:rsidRDefault="00800F2E" w:rsidP="001227F7">
      <w:pPr>
        <w:spacing w:after="30"/>
        <w:rPr>
          <w:sz w:val="20"/>
        </w:rPr>
      </w:pPr>
      <w:r w:rsidRPr="0025007A">
        <w:rPr>
          <w:b/>
          <w:sz w:val="20"/>
        </w:rPr>
        <w:t>EPA</w:t>
      </w:r>
      <w:r w:rsidRPr="0025007A">
        <w:rPr>
          <w:sz w:val="20"/>
        </w:rPr>
        <w:t>:  Environmental Protection Agency</w:t>
      </w:r>
    </w:p>
    <w:p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rsidR="00800F2E" w:rsidRPr="0025007A" w:rsidRDefault="00800F2E" w:rsidP="001227F7">
      <w:pPr>
        <w:spacing w:after="30"/>
        <w:rPr>
          <w:sz w:val="20"/>
        </w:rPr>
      </w:pPr>
      <w:r w:rsidRPr="0025007A">
        <w:rPr>
          <w:b/>
          <w:sz w:val="20"/>
        </w:rPr>
        <w:t>EU</w:t>
      </w:r>
      <w:r w:rsidRPr="0025007A">
        <w:rPr>
          <w:sz w:val="20"/>
        </w:rPr>
        <w:t>:  emissions unit</w:t>
      </w:r>
    </w:p>
    <w:p w:rsidR="00800F2E" w:rsidRPr="0025007A" w:rsidRDefault="00800F2E" w:rsidP="001227F7">
      <w:pPr>
        <w:spacing w:after="30"/>
        <w:rPr>
          <w:sz w:val="20"/>
        </w:rPr>
      </w:pPr>
      <w:r w:rsidRPr="0025007A">
        <w:rPr>
          <w:b/>
          <w:sz w:val="20"/>
        </w:rPr>
        <w:t>F.A.C.</w:t>
      </w:r>
      <w:r w:rsidRPr="0025007A">
        <w:rPr>
          <w:sz w:val="20"/>
        </w:rPr>
        <w:t>:  Florida Administrative Code</w:t>
      </w:r>
    </w:p>
    <w:p w:rsidR="00800F2E" w:rsidRPr="0025007A" w:rsidRDefault="00800F2E" w:rsidP="001227F7">
      <w:pPr>
        <w:spacing w:after="30"/>
        <w:rPr>
          <w:sz w:val="20"/>
        </w:rPr>
      </w:pPr>
      <w:r w:rsidRPr="0025007A">
        <w:rPr>
          <w:b/>
          <w:sz w:val="20"/>
        </w:rPr>
        <w:t>F.D.</w:t>
      </w:r>
      <w:r w:rsidRPr="0025007A">
        <w:rPr>
          <w:sz w:val="20"/>
        </w:rPr>
        <w:t>:  forced draft</w:t>
      </w:r>
    </w:p>
    <w:p w:rsidR="00800F2E" w:rsidRPr="0025007A" w:rsidRDefault="00800F2E" w:rsidP="001227F7">
      <w:pPr>
        <w:spacing w:after="30"/>
        <w:rPr>
          <w:sz w:val="20"/>
        </w:rPr>
      </w:pPr>
      <w:r w:rsidRPr="0025007A">
        <w:rPr>
          <w:b/>
          <w:sz w:val="20"/>
        </w:rPr>
        <w:t>F.S.</w:t>
      </w:r>
      <w:r w:rsidRPr="0025007A">
        <w:rPr>
          <w:sz w:val="20"/>
        </w:rPr>
        <w:t>:  Florida Statutes</w:t>
      </w:r>
    </w:p>
    <w:p w:rsidR="00800F2E" w:rsidRPr="0025007A" w:rsidRDefault="00800F2E" w:rsidP="001227F7">
      <w:pPr>
        <w:spacing w:after="30"/>
        <w:rPr>
          <w:sz w:val="20"/>
        </w:rPr>
      </w:pPr>
      <w:r w:rsidRPr="0025007A">
        <w:rPr>
          <w:b/>
          <w:sz w:val="20"/>
        </w:rPr>
        <w:t>FGR</w:t>
      </w:r>
      <w:r w:rsidRPr="0025007A">
        <w:rPr>
          <w:sz w:val="20"/>
        </w:rPr>
        <w:t>:  flue gas recirculation</w:t>
      </w:r>
    </w:p>
    <w:p w:rsidR="00800F2E" w:rsidRPr="0025007A" w:rsidRDefault="00800F2E" w:rsidP="001227F7">
      <w:pPr>
        <w:spacing w:after="30"/>
        <w:rPr>
          <w:sz w:val="20"/>
        </w:rPr>
      </w:pPr>
      <w:r w:rsidRPr="0025007A">
        <w:rPr>
          <w:b/>
          <w:sz w:val="20"/>
        </w:rPr>
        <w:t>Fl</w:t>
      </w:r>
      <w:r w:rsidRPr="0025007A">
        <w:rPr>
          <w:sz w:val="20"/>
        </w:rPr>
        <w:t>:  fluoride</w:t>
      </w:r>
    </w:p>
    <w:p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rsidR="00DA69CC" w:rsidRPr="0025007A" w:rsidRDefault="00DA69CC" w:rsidP="001227F7">
      <w:pPr>
        <w:spacing w:after="30"/>
        <w:rPr>
          <w:sz w:val="20"/>
        </w:rPr>
      </w:pPr>
      <w:r w:rsidRPr="0025007A">
        <w:rPr>
          <w:b/>
          <w:sz w:val="20"/>
        </w:rPr>
        <w:t>g</w:t>
      </w:r>
      <w:r w:rsidRPr="0025007A">
        <w:rPr>
          <w:sz w:val="20"/>
        </w:rPr>
        <w:t>:  grams</w:t>
      </w:r>
    </w:p>
    <w:p w:rsidR="00800F2E" w:rsidRPr="0025007A" w:rsidRDefault="00800F2E" w:rsidP="001227F7">
      <w:pPr>
        <w:spacing w:after="30"/>
        <w:rPr>
          <w:sz w:val="20"/>
        </w:rPr>
      </w:pPr>
      <w:r w:rsidRPr="0025007A">
        <w:rPr>
          <w:b/>
          <w:sz w:val="20"/>
        </w:rPr>
        <w:t>gpm</w:t>
      </w:r>
      <w:r w:rsidRPr="0025007A">
        <w:rPr>
          <w:sz w:val="20"/>
        </w:rPr>
        <w:t>:  gallons per minute</w:t>
      </w:r>
    </w:p>
    <w:p w:rsidR="00800F2E" w:rsidRPr="0025007A" w:rsidRDefault="00800F2E" w:rsidP="001227F7">
      <w:pPr>
        <w:spacing w:after="30"/>
        <w:rPr>
          <w:sz w:val="20"/>
        </w:rPr>
      </w:pPr>
      <w:r w:rsidRPr="0025007A">
        <w:rPr>
          <w:b/>
          <w:sz w:val="20"/>
        </w:rPr>
        <w:t>gr</w:t>
      </w:r>
      <w:r w:rsidRPr="0025007A">
        <w:rPr>
          <w:sz w:val="20"/>
        </w:rPr>
        <w:t>:  grains</w:t>
      </w:r>
    </w:p>
    <w:p w:rsidR="00800F2E" w:rsidRPr="0025007A" w:rsidRDefault="00800F2E" w:rsidP="001227F7">
      <w:pPr>
        <w:spacing w:after="30"/>
        <w:rPr>
          <w:sz w:val="20"/>
        </w:rPr>
      </w:pPr>
      <w:r w:rsidRPr="0025007A">
        <w:rPr>
          <w:b/>
          <w:sz w:val="20"/>
        </w:rPr>
        <w:t>HAP</w:t>
      </w:r>
      <w:r w:rsidRPr="0025007A">
        <w:rPr>
          <w:sz w:val="20"/>
        </w:rPr>
        <w:t>:  hazardous air pollutant</w:t>
      </w:r>
    </w:p>
    <w:p w:rsidR="00800F2E" w:rsidRPr="0025007A" w:rsidRDefault="00800F2E" w:rsidP="001227F7">
      <w:pPr>
        <w:spacing w:after="30"/>
        <w:rPr>
          <w:sz w:val="20"/>
        </w:rPr>
      </w:pPr>
      <w:r w:rsidRPr="0025007A">
        <w:rPr>
          <w:b/>
          <w:sz w:val="20"/>
        </w:rPr>
        <w:t>HP</w:t>
      </w:r>
      <w:r w:rsidRPr="0025007A">
        <w:rPr>
          <w:sz w:val="20"/>
        </w:rPr>
        <w:t>:  horsepower</w:t>
      </w:r>
    </w:p>
    <w:p w:rsidR="00800F2E" w:rsidRPr="0025007A" w:rsidRDefault="00800F2E" w:rsidP="001227F7">
      <w:pPr>
        <w:spacing w:after="30"/>
        <w:rPr>
          <w:sz w:val="20"/>
        </w:rPr>
      </w:pPr>
      <w:r w:rsidRPr="0025007A">
        <w:rPr>
          <w:b/>
          <w:sz w:val="20"/>
        </w:rPr>
        <w:t>Hg</w:t>
      </w:r>
      <w:r w:rsidRPr="0025007A">
        <w:rPr>
          <w:sz w:val="20"/>
        </w:rPr>
        <w:t>:  mercury</w:t>
      </w:r>
    </w:p>
    <w:p w:rsidR="00800F2E" w:rsidRPr="0025007A" w:rsidRDefault="00800F2E" w:rsidP="001227F7">
      <w:pPr>
        <w:spacing w:after="30"/>
        <w:rPr>
          <w:sz w:val="20"/>
        </w:rPr>
      </w:pPr>
      <w:r w:rsidRPr="0025007A">
        <w:rPr>
          <w:b/>
          <w:sz w:val="20"/>
        </w:rPr>
        <w:t>ICE</w:t>
      </w:r>
      <w:r w:rsidRPr="0025007A">
        <w:rPr>
          <w:sz w:val="20"/>
        </w:rPr>
        <w:t>:  internal combustion engine</w:t>
      </w:r>
    </w:p>
    <w:p w:rsidR="00800F2E" w:rsidRPr="0025007A" w:rsidRDefault="00800F2E" w:rsidP="001227F7">
      <w:pPr>
        <w:spacing w:after="30"/>
        <w:rPr>
          <w:sz w:val="20"/>
        </w:rPr>
      </w:pPr>
      <w:r w:rsidRPr="0025007A">
        <w:rPr>
          <w:b/>
          <w:sz w:val="20"/>
        </w:rPr>
        <w:t>I.D.</w:t>
      </w:r>
      <w:r w:rsidRPr="0025007A">
        <w:rPr>
          <w:sz w:val="20"/>
        </w:rPr>
        <w:t>:  induced draft</w:t>
      </w:r>
    </w:p>
    <w:p w:rsidR="00800F2E" w:rsidRPr="0025007A" w:rsidRDefault="00800F2E" w:rsidP="001227F7">
      <w:pPr>
        <w:spacing w:after="30"/>
        <w:rPr>
          <w:sz w:val="20"/>
        </w:rPr>
      </w:pPr>
      <w:r w:rsidRPr="0025007A">
        <w:rPr>
          <w:b/>
          <w:sz w:val="20"/>
        </w:rPr>
        <w:t>ID</w:t>
      </w:r>
      <w:r w:rsidRPr="0025007A">
        <w:rPr>
          <w:sz w:val="20"/>
        </w:rPr>
        <w:t>:  identification</w:t>
      </w:r>
    </w:p>
    <w:p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rsidR="00800F2E" w:rsidRPr="0025007A" w:rsidRDefault="00800F2E" w:rsidP="001227F7">
      <w:pPr>
        <w:spacing w:after="30"/>
        <w:rPr>
          <w:snapToGrid w:val="0"/>
          <w:sz w:val="20"/>
        </w:rPr>
      </w:pPr>
      <w:r w:rsidRPr="0025007A">
        <w:rPr>
          <w:b/>
          <w:snapToGrid w:val="0"/>
          <w:sz w:val="20"/>
        </w:rPr>
        <w:t>kPa</w:t>
      </w:r>
      <w:r w:rsidRPr="0025007A">
        <w:rPr>
          <w:snapToGrid w:val="0"/>
          <w:sz w:val="20"/>
        </w:rPr>
        <w:t>:  kilopascals</w:t>
      </w:r>
    </w:p>
    <w:p w:rsidR="00B200C1" w:rsidRPr="0025007A" w:rsidRDefault="00B200C1" w:rsidP="001227F7">
      <w:pPr>
        <w:spacing w:after="30"/>
        <w:rPr>
          <w:sz w:val="20"/>
        </w:rPr>
      </w:pPr>
      <w:r w:rsidRPr="0025007A">
        <w:rPr>
          <w:b/>
          <w:snapToGrid w:val="0"/>
          <w:sz w:val="20"/>
        </w:rPr>
        <w:t>kW</w:t>
      </w:r>
      <w:r w:rsidRPr="0025007A">
        <w:rPr>
          <w:snapToGrid w:val="0"/>
          <w:sz w:val="20"/>
        </w:rPr>
        <w:t>:  kilowatts</w:t>
      </w:r>
    </w:p>
    <w:p w:rsidR="00800F2E" w:rsidRPr="0025007A" w:rsidRDefault="00800F2E" w:rsidP="001227F7">
      <w:pPr>
        <w:spacing w:after="30"/>
        <w:rPr>
          <w:sz w:val="20"/>
        </w:rPr>
      </w:pPr>
      <w:r w:rsidRPr="0025007A">
        <w:rPr>
          <w:b/>
          <w:sz w:val="20"/>
        </w:rPr>
        <w:t>LAT</w:t>
      </w:r>
      <w:r w:rsidRPr="0025007A">
        <w:rPr>
          <w:sz w:val="20"/>
        </w:rPr>
        <w:t>:  Latitude</w:t>
      </w:r>
    </w:p>
    <w:p w:rsidR="00800F2E" w:rsidRPr="0025007A" w:rsidRDefault="00800F2E" w:rsidP="001227F7">
      <w:pPr>
        <w:spacing w:after="30"/>
        <w:rPr>
          <w:sz w:val="20"/>
        </w:rPr>
      </w:pPr>
      <w:r w:rsidRPr="0025007A">
        <w:rPr>
          <w:b/>
          <w:sz w:val="20"/>
        </w:rPr>
        <w:t>lb</w:t>
      </w:r>
      <w:r w:rsidRPr="0025007A">
        <w:rPr>
          <w:sz w:val="20"/>
        </w:rPr>
        <w:t>:  pound</w:t>
      </w:r>
    </w:p>
    <w:p w:rsidR="00800F2E" w:rsidRPr="0025007A" w:rsidRDefault="00800F2E" w:rsidP="001227F7">
      <w:pPr>
        <w:spacing w:after="30"/>
        <w:rPr>
          <w:sz w:val="20"/>
        </w:rPr>
      </w:pPr>
      <w:r w:rsidRPr="0025007A">
        <w:rPr>
          <w:b/>
          <w:sz w:val="20"/>
        </w:rPr>
        <w:t>lbs/hr</w:t>
      </w:r>
      <w:r w:rsidRPr="0025007A">
        <w:rPr>
          <w:sz w:val="20"/>
        </w:rPr>
        <w:t>:  pounds per hour</w:t>
      </w:r>
    </w:p>
    <w:p w:rsidR="00800F2E" w:rsidRPr="0025007A" w:rsidRDefault="00800F2E" w:rsidP="001227F7">
      <w:pPr>
        <w:spacing w:after="30"/>
        <w:rPr>
          <w:b/>
          <w:sz w:val="20"/>
        </w:rPr>
      </w:pPr>
      <w:r w:rsidRPr="0025007A">
        <w:rPr>
          <w:b/>
          <w:sz w:val="20"/>
        </w:rPr>
        <w:t>LONG</w:t>
      </w:r>
      <w:r w:rsidRPr="0025007A">
        <w:rPr>
          <w:sz w:val="20"/>
        </w:rPr>
        <w:t>:  Longitude</w:t>
      </w:r>
    </w:p>
    <w:p w:rsidR="00800F2E" w:rsidRPr="0025007A" w:rsidRDefault="00800F2E" w:rsidP="001227F7">
      <w:pPr>
        <w:spacing w:after="30"/>
        <w:rPr>
          <w:sz w:val="20"/>
        </w:rPr>
      </w:pPr>
      <w:r w:rsidRPr="0025007A">
        <w:rPr>
          <w:b/>
          <w:sz w:val="20"/>
        </w:rPr>
        <w:t>MACT</w:t>
      </w:r>
      <w:r w:rsidRPr="0025007A">
        <w:rPr>
          <w:sz w:val="20"/>
        </w:rPr>
        <w:t>:  maximum achievable technology</w:t>
      </w:r>
    </w:p>
    <w:p w:rsidR="00800F2E" w:rsidRPr="0025007A" w:rsidRDefault="00800F2E" w:rsidP="001227F7">
      <w:pPr>
        <w:spacing w:after="30"/>
        <w:rPr>
          <w:b/>
          <w:sz w:val="20"/>
        </w:rPr>
      </w:pPr>
      <w:r w:rsidRPr="0025007A">
        <w:rPr>
          <w:b/>
          <w:sz w:val="20"/>
        </w:rPr>
        <w:t>mm</w:t>
      </w:r>
      <w:r w:rsidRPr="0025007A">
        <w:rPr>
          <w:sz w:val="20"/>
        </w:rPr>
        <w:t>:  millimeter</w:t>
      </w:r>
    </w:p>
    <w:p w:rsidR="00800F2E" w:rsidRPr="0025007A" w:rsidRDefault="00800F2E" w:rsidP="001227F7">
      <w:pPr>
        <w:spacing w:after="30"/>
        <w:rPr>
          <w:sz w:val="20"/>
        </w:rPr>
      </w:pPr>
      <w:r w:rsidRPr="0025007A">
        <w:rPr>
          <w:b/>
          <w:sz w:val="20"/>
        </w:rPr>
        <w:lastRenderedPageBreak/>
        <w:t>MMBtu</w:t>
      </w:r>
      <w:r w:rsidRPr="0025007A">
        <w:rPr>
          <w:sz w:val="20"/>
        </w:rPr>
        <w:t>:  million British thermal units</w:t>
      </w:r>
    </w:p>
    <w:p w:rsidR="00800F2E" w:rsidRPr="0025007A" w:rsidRDefault="00800F2E" w:rsidP="001227F7">
      <w:pPr>
        <w:spacing w:after="30"/>
        <w:rPr>
          <w:sz w:val="20"/>
        </w:rPr>
      </w:pPr>
      <w:r w:rsidRPr="0025007A">
        <w:rPr>
          <w:b/>
          <w:bCs/>
          <w:sz w:val="20"/>
        </w:rPr>
        <w:t>MSDS</w:t>
      </w:r>
      <w:r w:rsidRPr="0025007A">
        <w:rPr>
          <w:bCs/>
          <w:sz w:val="20"/>
        </w:rPr>
        <w:t>:  material safety data sheets</w:t>
      </w:r>
    </w:p>
    <w:p w:rsidR="00800F2E" w:rsidRPr="0025007A" w:rsidRDefault="00800F2E" w:rsidP="001227F7">
      <w:pPr>
        <w:spacing w:after="30"/>
        <w:rPr>
          <w:sz w:val="20"/>
        </w:rPr>
      </w:pPr>
      <w:r w:rsidRPr="0025007A">
        <w:rPr>
          <w:b/>
          <w:sz w:val="20"/>
        </w:rPr>
        <w:t>MW</w:t>
      </w:r>
      <w:r w:rsidRPr="0025007A">
        <w:rPr>
          <w:sz w:val="20"/>
        </w:rPr>
        <w:t>:  megawatt</w:t>
      </w:r>
    </w:p>
    <w:p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rsidR="00800F2E" w:rsidRPr="0025007A" w:rsidRDefault="00800F2E" w:rsidP="001227F7">
      <w:pPr>
        <w:spacing w:after="30"/>
        <w:rPr>
          <w:sz w:val="20"/>
        </w:rPr>
      </w:pPr>
      <w:r w:rsidRPr="0025007A">
        <w:rPr>
          <w:b/>
          <w:sz w:val="20"/>
        </w:rPr>
        <w:t>NSPS</w:t>
      </w:r>
      <w:r w:rsidRPr="0025007A">
        <w:rPr>
          <w:sz w:val="20"/>
        </w:rPr>
        <w:t>:  New Source Performance Standards</w:t>
      </w:r>
    </w:p>
    <w:p w:rsidR="00800F2E" w:rsidRPr="0025007A" w:rsidRDefault="00800F2E" w:rsidP="001227F7">
      <w:pPr>
        <w:spacing w:after="30"/>
        <w:rPr>
          <w:sz w:val="20"/>
        </w:rPr>
      </w:pPr>
      <w:r w:rsidRPr="0025007A">
        <w:rPr>
          <w:b/>
          <w:sz w:val="20"/>
        </w:rPr>
        <w:t>O&amp;M</w:t>
      </w:r>
      <w:r w:rsidRPr="0025007A">
        <w:rPr>
          <w:sz w:val="20"/>
        </w:rPr>
        <w:t>:  operation and maintenance</w:t>
      </w:r>
    </w:p>
    <w:p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rsidR="00800F2E" w:rsidRPr="0025007A" w:rsidRDefault="00800F2E" w:rsidP="001227F7">
      <w:pPr>
        <w:spacing w:after="30"/>
        <w:rPr>
          <w:sz w:val="20"/>
        </w:rPr>
      </w:pPr>
      <w:r w:rsidRPr="0025007A">
        <w:rPr>
          <w:b/>
          <w:sz w:val="20"/>
        </w:rPr>
        <w:t>Pb</w:t>
      </w:r>
      <w:r w:rsidRPr="0025007A">
        <w:rPr>
          <w:sz w:val="20"/>
        </w:rPr>
        <w:t>:  lead</w:t>
      </w:r>
    </w:p>
    <w:p w:rsidR="00800F2E" w:rsidRPr="0025007A" w:rsidRDefault="00800F2E" w:rsidP="001227F7">
      <w:pPr>
        <w:spacing w:after="30"/>
        <w:rPr>
          <w:sz w:val="20"/>
        </w:rPr>
      </w:pPr>
      <w:r w:rsidRPr="0025007A">
        <w:rPr>
          <w:b/>
          <w:sz w:val="20"/>
        </w:rPr>
        <w:t>PM</w:t>
      </w:r>
      <w:r w:rsidRPr="0025007A">
        <w:rPr>
          <w:sz w:val="20"/>
        </w:rPr>
        <w:t>:  particulate matter</w:t>
      </w:r>
    </w:p>
    <w:p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rsidR="00800F2E" w:rsidRPr="0025007A" w:rsidRDefault="00800F2E" w:rsidP="001227F7">
      <w:pPr>
        <w:spacing w:after="30"/>
        <w:rPr>
          <w:sz w:val="20"/>
        </w:rPr>
      </w:pPr>
      <w:r w:rsidRPr="0025007A">
        <w:rPr>
          <w:b/>
          <w:sz w:val="20"/>
        </w:rPr>
        <w:t>PSD</w:t>
      </w:r>
      <w:r w:rsidRPr="0025007A">
        <w:rPr>
          <w:sz w:val="20"/>
        </w:rPr>
        <w:t>:  prevention of significant deterioration</w:t>
      </w:r>
    </w:p>
    <w:p w:rsidR="00800F2E" w:rsidRPr="0025007A" w:rsidRDefault="00800F2E" w:rsidP="001227F7">
      <w:pPr>
        <w:spacing w:after="30"/>
        <w:rPr>
          <w:sz w:val="20"/>
        </w:rPr>
      </w:pPr>
      <w:r w:rsidRPr="0025007A">
        <w:rPr>
          <w:b/>
          <w:sz w:val="20"/>
        </w:rPr>
        <w:t>psi</w:t>
      </w:r>
      <w:r w:rsidRPr="0025007A">
        <w:rPr>
          <w:sz w:val="20"/>
        </w:rPr>
        <w:t>:  pounds per square inch</w:t>
      </w:r>
    </w:p>
    <w:p w:rsidR="00800F2E" w:rsidRPr="0025007A" w:rsidRDefault="00800F2E" w:rsidP="001227F7">
      <w:pPr>
        <w:spacing w:after="30"/>
        <w:rPr>
          <w:sz w:val="20"/>
        </w:rPr>
      </w:pPr>
      <w:r w:rsidRPr="0025007A">
        <w:rPr>
          <w:b/>
          <w:sz w:val="20"/>
        </w:rPr>
        <w:t>PTE</w:t>
      </w:r>
      <w:r w:rsidRPr="0025007A">
        <w:rPr>
          <w:sz w:val="20"/>
        </w:rPr>
        <w:t>:  potential to emit</w:t>
      </w:r>
    </w:p>
    <w:p w:rsidR="00800F2E" w:rsidRPr="0025007A" w:rsidRDefault="00800F2E" w:rsidP="001227F7">
      <w:pPr>
        <w:spacing w:after="30"/>
        <w:rPr>
          <w:sz w:val="20"/>
        </w:rPr>
      </w:pPr>
      <w:r w:rsidRPr="0025007A">
        <w:rPr>
          <w:b/>
          <w:sz w:val="20"/>
        </w:rPr>
        <w:t>RACT</w:t>
      </w:r>
      <w:r w:rsidRPr="0025007A">
        <w:rPr>
          <w:sz w:val="20"/>
        </w:rPr>
        <w:t>:  reasonably available control technology</w:t>
      </w:r>
    </w:p>
    <w:p w:rsidR="00800F2E" w:rsidRPr="0025007A" w:rsidRDefault="00800F2E" w:rsidP="001227F7">
      <w:pPr>
        <w:spacing w:after="30"/>
        <w:rPr>
          <w:sz w:val="20"/>
        </w:rPr>
      </w:pPr>
      <w:r w:rsidRPr="0025007A">
        <w:rPr>
          <w:b/>
          <w:sz w:val="20"/>
        </w:rPr>
        <w:t>RATA</w:t>
      </w:r>
      <w:r w:rsidRPr="0025007A">
        <w:rPr>
          <w:sz w:val="20"/>
        </w:rPr>
        <w:t>:  relative accuracy test audit</w:t>
      </w:r>
    </w:p>
    <w:p w:rsidR="00800F2E" w:rsidRPr="0025007A" w:rsidRDefault="00800F2E" w:rsidP="001227F7">
      <w:pPr>
        <w:spacing w:after="30"/>
        <w:rPr>
          <w:sz w:val="20"/>
        </w:rPr>
      </w:pPr>
      <w:r w:rsidRPr="0025007A">
        <w:rPr>
          <w:b/>
          <w:sz w:val="20"/>
        </w:rPr>
        <w:t>RICE</w:t>
      </w:r>
      <w:r w:rsidRPr="0025007A">
        <w:rPr>
          <w:sz w:val="20"/>
        </w:rPr>
        <w:t>:  reciprocating internal combustion engine</w:t>
      </w:r>
    </w:p>
    <w:p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rsidR="00800F2E" w:rsidRPr="0025007A" w:rsidRDefault="00800F2E" w:rsidP="001227F7">
      <w:pPr>
        <w:spacing w:after="30"/>
        <w:rPr>
          <w:sz w:val="20"/>
        </w:rPr>
      </w:pPr>
      <w:r w:rsidRPr="0025007A">
        <w:rPr>
          <w:b/>
          <w:sz w:val="20"/>
        </w:rPr>
        <w:t>SAM</w:t>
      </w:r>
      <w:r w:rsidRPr="0025007A">
        <w:rPr>
          <w:sz w:val="20"/>
        </w:rPr>
        <w:t>:  sulfuric acid mist</w:t>
      </w:r>
    </w:p>
    <w:p w:rsidR="00800F2E" w:rsidRPr="0025007A" w:rsidRDefault="00800F2E" w:rsidP="001227F7">
      <w:pPr>
        <w:spacing w:after="30"/>
        <w:rPr>
          <w:sz w:val="20"/>
        </w:rPr>
      </w:pPr>
      <w:r w:rsidRPr="0025007A">
        <w:rPr>
          <w:b/>
          <w:sz w:val="20"/>
        </w:rPr>
        <w:t>scf</w:t>
      </w:r>
      <w:r w:rsidRPr="0025007A">
        <w:rPr>
          <w:sz w:val="20"/>
        </w:rPr>
        <w:t>:  standard cubic feet</w:t>
      </w:r>
    </w:p>
    <w:p w:rsidR="00800F2E" w:rsidRPr="0025007A" w:rsidRDefault="00800F2E" w:rsidP="001227F7">
      <w:pPr>
        <w:spacing w:after="30"/>
        <w:rPr>
          <w:sz w:val="20"/>
        </w:rPr>
      </w:pPr>
      <w:r w:rsidRPr="0025007A">
        <w:rPr>
          <w:b/>
          <w:sz w:val="20"/>
        </w:rPr>
        <w:t>scfm</w:t>
      </w:r>
      <w:r w:rsidRPr="0025007A">
        <w:rPr>
          <w:sz w:val="20"/>
        </w:rPr>
        <w:t>:  standard cubic feet per minute</w:t>
      </w:r>
    </w:p>
    <w:p w:rsidR="00800F2E" w:rsidRPr="0025007A" w:rsidRDefault="00800F2E" w:rsidP="001227F7">
      <w:pPr>
        <w:spacing w:after="30"/>
        <w:rPr>
          <w:sz w:val="20"/>
        </w:rPr>
      </w:pPr>
      <w:r w:rsidRPr="0025007A">
        <w:rPr>
          <w:b/>
          <w:sz w:val="20"/>
        </w:rPr>
        <w:t>SI</w:t>
      </w:r>
      <w:r w:rsidRPr="0025007A">
        <w:rPr>
          <w:sz w:val="20"/>
        </w:rPr>
        <w:t>:  spark ignition</w:t>
      </w:r>
    </w:p>
    <w:p w:rsidR="00800F2E" w:rsidRPr="0025007A" w:rsidRDefault="00800F2E" w:rsidP="001227F7">
      <w:pPr>
        <w:spacing w:after="30"/>
        <w:rPr>
          <w:sz w:val="20"/>
        </w:rPr>
      </w:pPr>
      <w:r w:rsidRPr="0025007A">
        <w:rPr>
          <w:b/>
          <w:sz w:val="20"/>
        </w:rPr>
        <w:t>SIC</w:t>
      </w:r>
      <w:r w:rsidRPr="0025007A">
        <w:rPr>
          <w:sz w:val="20"/>
        </w:rPr>
        <w:t>:  standard industrial classification code</w:t>
      </w:r>
    </w:p>
    <w:p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rsidR="00800F2E" w:rsidRPr="0025007A" w:rsidRDefault="00800F2E" w:rsidP="001227F7">
      <w:pPr>
        <w:spacing w:after="30"/>
        <w:rPr>
          <w:sz w:val="20"/>
        </w:rPr>
      </w:pPr>
      <w:r w:rsidRPr="0025007A">
        <w:rPr>
          <w:b/>
          <w:sz w:val="20"/>
        </w:rPr>
        <w:t>SOA</w:t>
      </w:r>
      <w:r w:rsidRPr="0025007A">
        <w:rPr>
          <w:sz w:val="20"/>
        </w:rPr>
        <w:t>:  Specific Operating Agreement</w:t>
      </w:r>
    </w:p>
    <w:p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rsidR="00800F2E" w:rsidRPr="0025007A" w:rsidRDefault="00800F2E" w:rsidP="001227F7">
      <w:pPr>
        <w:spacing w:after="30"/>
        <w:rPr>
          <w:sz w:val="20"/>
        </w:rPr>
      </w:pPr>
      <w:r w:rsidRPr="0025007A">
        <w:rPr>
          <w:b/>
          <w:sz w:val="20"/>
        </w:rPr>
        <w:t>TPH</w:t>
      </w:r>
      <w:r w:rsidRPr="0025007A">
        <w:rPr>
          <w:sz w:val="20"/>
        </w:rPr>
        <w:t>:  tons per hour</w:t>
      </w:r>
    </w:p>
    <w:p w:rsidR="00800F2E" w:rsidRPr="0025007A" w:rsidRDefault="00800F2E" w:rsidP="001227F7">
      <w:pPr>
        <w:spacing w:after="30"/>
        <w:rPr>
          <w:b/>
          <w:sz w:val="20"/>
        </w:rPr>
      </w:pPr>
      <w:r w:rsidRPr="0025007A">
        <w:rPr>
          <w:b/>
          <w:sz w:val="20"/>
        </w:rPr>
        <w:t>TPY</w:t>
      </w:r>
      <w:r w:rsidRPr="0025007A">
        <w:rPr>
          <w:sz w:val="20"/>
        </w:rPr>
        <w:t>:  tons per year</w:t>
      </w:r>
    </w:p>
    <w:p w:rsidR="00800F2E" w:rsidRPr="0025007A" w:rsidRDefault="00800F2E" w:rsidP="001227F7">
      <w:pPr>
        <w:spacing w:after="30"/>
        <w:rPr>
          <w:sz w:val="20"/>
        </w:rPr>
      </w:pPr>
      <w:r w:rsidRPr="0025007A">
        <w:rPr>
          <w:b/>
          <w:sz w:val="20"/>
        </w:rPr>
        <w:t>UTM</w:t>
      </w:r>
      <w:r w:rsidRPr="0025007A">
        <w:rPr>
          <w:sz w:val="20"/>
        </w:rPr>
        <w:t>:  Universal Transverse Mercator coordinate system</w:t>
      </w:r>
    </w:p>
    <w:p w:rsidR="00800F2E" w:rsidRPr="0025007A" w:rsidRDefault="00800F2E" w:rsidP="001227F7">
      <w:pPr>
        <w:spacing w:after="30"/>
        <w:rPr>
          <w:sz w:val="20"/>
        </w:rPr>
      </w:pPr>
      <w:r w:rsidRPr="0025007A">
        <w:rPr>
          <w:b/>
          <w:sz w:val="20"/>
        </w:rPr>
        <w:t>VE</w:t>
      </w:r>
      <w:r w:rsidRPr="0025007A">
        <w:rPr>
          <w:sz w:val="20"/>
        </w:rPr>
        <w:t>:  visible emissions</w:t>
      </w:r>
    </w:p>
    <w:p w:rsidR="00800F2E" w:rsidRPr="0025007A" w:rsidRDefault="00800F2E" w:rsidP="001227F7">
      <w:pPr>
        <w:spacing w:after="30"/>
        <w:rPr>
          <w:sz w:val="20"/>
        </w:rPr>
      </w:pPr>
      <w:r w:rsidRPr="0025007A">
        <w:rPr>
          <w:b/>
          <w:sz w:val="20"/>
        </w:rPr>
        <w:t>VOC</w:t>
      </w:r>
      <w:r w:rsidRPr="0025007A">
        <w:rPr>
          <w:sz w:val="20"/>
        </w:rPr>
        <w:t>:  volatile organic compounds</w:t>
      </w:r>
    </w:p>
    <w:p w:rsidR="00800F2E" w:rsidRPr="0025007A" w:rsidRDefault="00800F2E" w:rsidP="001227F7">
      <w:pPr>
        <w:tabs>
          <w:tab w:val="left" w:pos="540"/>
        </w:tabs>
        <w:rPr>
          <w:sz w:val="20"/>
        </w:rPr>
      </w:pPr>
      <w:r w:rsidRPr="0025007A">
        <w:rPr>
          <w:b/>
          <w:sz w:val="20"/>
        </w:rPr>
        <w:t>x</w:t>
      </w:r>
      <w:r w:rsidRPr="0025007A">
        <w:rPr>
          <w:sz w:val="20"/>
        </w:rPr>
        <w:t>:   By or times</w:t>
      </w:r>
    </w:p>
    <w:p w:rsidR="005B09C0" w:rsidRDefault="005B09C0" w:rsidP="005B09C0">
      <w:pPr>
        <w:rPr>
          <w:b/>
          <w:sz w:val="20"/>
        </w:rPr>
      </w:pPr>
    </w:p>
    <w:p w:rsidR="00BD6F2F" w:rsidRDefault="00BD6F2F" w:rsidP="005B09C0">
      <w:pPr>
        <w:rPr>
          <w:b/>
          <w:sz w:val="20"/>
        </w:rPr>
      </w:pPr>
    </w:p>
    <w:p w:rsidR="008548BF" w:rsidRDefault="008548BF" w:rsidP="008548BF">
      <w:hyperlink w:anchor="TOC" w:history="1">
        <w:r w:rsidRPr="00BD6F2F">
          <w:rPr>
            <w:rStyle w:val="Hyperlink"/>
          </w:rPr>
          <w:t>Table of Contents</w:t>
        </w:r>
      </w:hyperlink>
    </w:p>
    <w:p w:rsidR="00BD6F2F" w:rsidRDefault="00BD6F2F" w:rsidP="005B09C0">
      <w:pPr>
        <w:rPr>
          <w:b/>
          <w:sz w:val="20"/>
        </w:rPr>
      </w:pPr>
    </w:p>
    <w:p w:rsidR="00BD6F2F" w:rsidRDefault="00BD6F2F" w:rsidP="005B09C0">
      <w:pPr>
        <w:rPr>
          <w:b/>
          <w:sz w:val="20"/>
        </w:rPr>
      </w:pPr>
    </w:p>
    <w:p w:rsidR="00BD6F2F" w:rsidRPr="0025007A" w:rsidRDefault="00BD6F2F" w:rsidP="005B09C0">
      <w:pPr>
        <w:rPr>
          <w:b/>
          <w:sz w:val="20"/>
        </w:rPr>
        <w:sectPr w:rsidR="00BD6F2F" w:rsidRPr="0025007A" w:rsidSect="003616C1">
          <w:headerReference w:type="default" r:id="rId7"/>
          <w:footerReference w:type="default" r:id="rId8"/>
          <w:footerReference w:type="first" r:id="rId9"/>
          <w:pgSz w:w="12240" w:h="15840" w:code="1"/>
          <w:pgMar w:top="804" w:right="1080" w:bottom="720" w:left="1080" w:header="450" w:footer="390" w:gutter="0"/>
          <w:paperSrc w:first="4" w:other="4"/>
          <w:pgNumType w:start="0"/>
          <w:cols w:space="720"/>
          <w:titlePg/>
          <w:docGrid w:linePitch="299"/>
        </w:sectPr>
      </w:pPr>
    </w:p>
    <w:p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rsidR="005B09C0" w:rsidRPr="0025007A" w:rsidRDefault="005B09C0" w:rsidP="005B09C0">
      <w:pPr>
        <w:spacing w:after="120"/>
        <w:jc w:val="both"/>
        <w:rPr>
          <w:sz w:val="20"/>
        </w:rPr>
      </w:pPr>
      <w:r w:rsidRPr="0025007A">
        <w:rPr>
          <w:sz w:val="20"/>
          <w:u w:val="single"/>
        </w:rPr>
        <w:t>Code of Federal Regulations</w:t>
      </w:r>
      <w:r w:rsidRPr="0025007A">
        <w:rPr>
          <w:sz w:val="20"/>
        </w:rPr>
        <w:t>:</w:t>
      </w:r>
    </w:p>
    <w:p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rsidR="005B09C0" w:rsidRPr="0025007A" w:rsidRDefault="005B09C0" w:rsidP="005B09C0">
      <w:pPr>
        <w:ind w:left="1008"/>
        <w:jc w:val="both"/>
        <w:rPr>
          <w:sz w:val="20"/>
        </w:rPr>
      </w:pPr>
      <w:r w:rsidRPr="0025007A">
        <w:rPr>
          <w:sz w:val="20"/>
        </w:rPr>
        <w:t>Where:</w:t>
      </w:r>
    </w:p>
    <w:p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rsidR="005B09C0" w:rsidRPr="0025007A" w:rsidRDefault="005B09C0" w:rsidP="001227F7">
      <w:pPr>
        <w:spacing w:after="120"/>
        <w:rPr>
          <w:sz w:val="20"/>
        </w:rPr>
      </w:pPr>
      <w:r w:rsidRPr="0025007A">
        <w:rPr>
          <w:sz w:val="20"/>
          <w:u w:val="single"/>
        </w:rPr>
        <w:t>Florida Administrative Code (F.A.C.) Rules</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rsidR="005B09C0" w:rsidRPr="0025007A" w:rsidRDefault="005B09C0" w:rsidP="001227F7">
      <w:pPr>
        <w:ind w:left="1008"/>
        <w:rPr>
          <w:sz w:val="20"/>
        </w:rPr>
      </w:pPr>
      <w:r w:rsidRPr="0025007A">
        <w:rPr>
          <w:sz w:val="20"/>
        </w:rPr>
        <w:t>Where:</w:t>
      </w:r>
    </w:p>
    <w:p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rsidR="005B09C0" w:rsidRPr="0025007A" w:rsidRDefault="005B09C0" w:rsidP="001227F7">
      <w:pPr>
        <w:rPr>
          <w:sz w:val="20"/>
        </w:rPr>
      </w:pPr>
      <w:r w:rsidRPr="0025007A">
        <w:rPr>
          <w:sz w:val="20"/>
        </w:rPr>
        <w:t>__________________________________________________________________________________________</w:t>
      </w:r>
    </w:p>
    <w:p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rsidR="005B09C0" w:rsidRPr="0025007A" w:rsidRDefault="005B09C0" w:rsidP="001227F7">
      <w:pPr>
        <w:spacing w:after="120"/>
        <w:rPr>
          <w:sz w:val="20"/>
        </w:rPr>
      </w:pPr>
      <w:r w:rsidRPr="0025007A">
        <w:rPr>
          <w:sz w:val="20"/>
          <w:u w:val="single"/>
        </w:rPr>
        <w:t>Facility Identification (ID) Number</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rsidR="005B09C0" w:rsidRPr="0025007A" w:rsidRDefault="005B09C0" w:rsidP="001227F7">
      <w:pPr>
        <w:ind w:left="1008"/>
        <w:rPr>
          <w:sz w:val="20"/>
        </w:rPr>
      </w:pPr>
      <w:r w:rsidRPr="0025007A">
        <w:rPr>
          <w:sz w:val="20"/>
        </w:rPr>
        <w:t>Where:</w:t>
      </w:r>
    </w:p>
    <w:p w:rsidR="005B09C0" w:rsidRPr="0025007A" w:rsidRDefault="005B09C0" w:rsidP="001227F7">
      <w:pPr>
        <w:ind w:left="1980"/>
        <w:rPr>
          <w:sz w:val="20"/>
        </w:rPr>
      </w:pPr>
      <w:proofErr w:type="gramStart"/>
      <w:r w:rsidRPr="0025007A">
        <w:rPr>
          <w:sz w:val="20"/>
        </w:rPr>
        <w:t>105  =</w:t>
      </w:r>
      <w:proofErr w:type="gramEnd"/>
      <w:r w:rsidRPr="0025007A">
        <w:rPr>
          <w:sz w:val="20"/>
        </w:rPr>
        <w:t xml:space="preserve">  3-digit number code identifying the facility is located in Polk County</w:t>
      </w:r>
    </w:p>
    <w:p w:rsidR="005B09C0" w:rsidRPr="0025007A" w:rsidRDefault="005B09C0" w:rsidP="001227F7">
      <w:pPr>
        <w:spacing w:after="120"/>
        <w:ind w:left="1980"/>
        <w:rPr>
          <w:sz w:val="20"/>
        </w:rPr>
      </w:pPr>
      <w:proofErr w:type="gramStart"/>
      <w:r w:rsidRPr="0025007A">
        <w:rPr>
          <w:sz w:val="20"/>
        </w:rPr>
        <w:t>0221  =</w:t>
      </w:r>
      <w:proofErr w:type="gramEnd"/>
      <w:r w:rsidRPr="0025007A">
        <w:rPr>
          <w:sz w:val="20"/>
        </w:rPr>
        <w:t xml:space="preserve">  4-digit number assigned by state database.</w:t>
      </w:r>
    </w:p>
    <w:p w:rsidR="005B09C0" w:rsidRPr="0025007A" w:rsidRDefault="005B09C0" w:rsidP="001227F7">
      <w:pPr>
        <w:spacing w:after="120"/>
        <w:rPr>
          <w:sz w:val="20"/>
        </w:rPr>
      </w:pPr>
      <w:r w:rsidRPr="0025007A">
        <w:rPr>
          <w:sz w:val="20"/>
          <w:u w:val="single"/>
        </w:rPr>
        <w:t>Permit Numbers</w:t>
      </w:r>
      <w:r w:rsidRPr="0025007A">
        <w:rPr>
          <w:sz w:val="20"/>
        </w:rPr>
        <w:t>:</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rsidR="005B09C0" w:rsidRPr="0025007A" w:rsidRDefault="005B09C0" w:rsidP="0025007A">
      <w:pPr>
        <w:spacing w:after="120"/>
        <w:ind w:left="1440"/>
        <w:rPr>
          <w:sz w:val="20"/>
        </w:rPr>
      </w:pPr>
      <w:r w:rsidRPr="0025007A">
        <w:rPr>
          <w:sz w:val="20"/>
        </w:rPr>
        <w:t>1050221-001-AC</w:t>
      </w:r>
    </w:p>
    <w:p w:rsidR="005B09C0" w:rsidRPr="0025007A" w:rsidRDefault="005B09C0" w:rsidP="001227F7">
      <w:pPr>
        <w:ind w:left="990"/>
        <w:rPr>
          <w:sz w:val="20"/>
        </w:rPr>
      </w:pPr>
      <w:r w:rsidRPr="0025007A">
        <w:rPr>
          <w:sz w:val="20"/>
        </w:rPr>
        <w:t>Where:</w:t>
      </w:r>
    </w:p>
    <w:p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 xml:space="preserve">3-digit number code identifying the facility </w:t>
      </w:r>
      <w:proofErr w:type="gramStart"/>
      <w:r w:rsidRPr="0025007A">
        <w:rPr>
          <w:sz w:val="20"/>
        </w:rPr>
        <w:t>is located in</w:t>
      </w:r>
      <w:proofErr w:type="gramEnd"/>
      <w:r w:rsidRPr="0025007A">
        <w:rPr>
          <w:sz w:val="20"/>
        </w:rPr>
        <w:t xml:space="preserve"> Polk County</w:t>
      </w:r>
    </w:p>
    <w:p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rsidR="005B09C0" w:rsidRPr="0025007A" w:rsidRDefault="005B09C0" w:rsidP="0025007A">
      <w:pPr>
        <w:spacing w:after="240"/>
        <w:ind w:left="1987"/>
        <w:rPr>
          <w:sz w:val="20"/>
        </w:rPr>
      </w:pPr>
      <w:r w:rsidRPr="0025007A">
        <w:rPr>
          <w:sz w:val="20"/>
        </w:rPr>
        <w:t xml:space="preserve">001 or 002 = </w:t>
      </w:r>
      <w:r w:rsidRPr="0025007A">
        <w:rPr>
          <w:sz w:val="20"/>
        </w:rPr>
        <w:tab/>
        <w:t>3-digit sequential project number assigned by permit tracking database</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rsidR="005B09C0" w:rsidRPr="0025007A" w:rsidRDefault="005B09C0" w:rsidP="0025007A">
      <w:pPr>
        <w:ind w:left="1440"/>
        <w:rPr>
          <w:sz w:val="20"/>
        </w:rPr>
      </w:pPr>
      <w:r w:rsidRPr="0025007A">
        <w:rPr>
          <w:sz w:val="20"/>
        </w:rPr>
        <w:t>PA95-01</w:t>
      </w:r>
    </w:p>
    <w:p w:rsidR="005B09C0" w:rsidRPr="0025007A" w:rsidRDefault="005B09C0" w:rsidP="0025007A">
      <w:pPr>
        <w:spacing w:after="120"/>
        <w:ind w:left="1440"/>
        <w:rPr>
          <w:sz w:val="20"/>
        </w:rPr>
      </w:pPr>
      <w:r w:rsidRPr="0025007A">
        <w:rPr>
          <w:sz w:val="20"/>
        </w:rPr>
        <w:t>AC53-208321</w:t>
      </w:r>
    </w:p>
    <w:p w:rsidR="005B09C0" w:rsidRPr="0025007A" w:rsidRDefault="005B09C0" w:rsidP="001227F7">
      <w:pPr>
        <w:ind w:left="990"/>
        <w:rPr>
          <w:sz w:val="20"/>
        </w:rPr>
      </w:pPr>
      <w:r w:rsidRPr="0025007A">
        <w:rPr>
          <w:sz w:val="20"/>
        </w:rPr>
        <w:t>Where:</w:t>
      </w:r>
    </w:p>
    <w:p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 xml:space="preserve">old Air Construction Permit numbering identifying the facility </w:t>
      </w:r>
      <w:proofErr w:type="gramStart"/>
      <w:r w:rsidRPr="0025007A">
        <w:rPr>
          <w:sz w:val="20"/>
        </w:rPr>
        <w:t>is located in</w:t>
      </w:r>
      <w:proofErr w:type="gramEnd"/>
      <w:r w:rsidRPr="0025007A">
        <w:rPr>
          <w:sz w:val="20"/>
        </w:rPr>
        <w:t xml:space="preserve"> Polk County</w:t>
      </w:r>
    </w:p>
    <w:p w:rsidR="00980694" w:rsidRDefault="00980694" w:rsidP="00BD6F2F">
      <w:pPr>
        <w:rPr>
          <w:sz w:val="20"/>
        </w:rPr>
      </w:pPr>
    </w:p>
    <w:p w:rsidR="00FB69B7" w:rsidRDefault="00FB69B7" w:rsidP="00FB69B7">
      <w:hyperlink w:anchor="TOC" w:history="1">
        <w:r w:rsidRPr="00BD6F2F">
          <w:rPr>
            <w:rStyle w:val="Hyperlink"/>
          </w:rPr>
          <w:t>Table of Contents</w:t>
        </w:r>
      </w:hyperlink>
    </w:p>
    <w:p w:rsidR="00BD6F2F" w:rsidRDefault="00BD6F2F" w:rsidP="00BD6F2F">
      <w:pPr>
        <w:rPr>
          <w:sz w:val="20"/>
        </w:rPr>
      </w:pPr>
    </w:p>
    <w:p w:rsidR="00BD6F2F" w:rsidRPr="0025007A" w:rsidRDefault="00BD6F2F" w:rsidP="00BD6F2F">
      <w:pPr>
        <w:rPr>
          <w:sz w:val="20"/>
        </w:rPr>
      </w:pPr>
    </w:p>
    <w:p w:rsidR="00BD6F2F" w:rsidRDefault="00BD6F2F" w:rsidP="00980694">
      <w:pPr>
        <w:rPr>
          <w:sz w:val="20"/>
        </w:rPr>
        <w:sectPr w:rsidR="00BD6F2F" w:rsidSect="00980694">
          <w:headerReference w:type="default" r:id="rId10"/>
          <w:footerReference w:type="default" r:id="rId11"/>
          <w:pgSz w:w="12240" w:h="15840" w:code="1"/>
          <w:pgMar w:top="1440" w:right="1080" w:bottom="1440" w:left="1080" w:header="720" w:footer="576" w:gutter="0"/>
          <w:paperSrc w:first="264" w:other="264"/>
          <w:cols w:space="720"/>
          <w:docGrid w:linePitch="299"/>
        </w:sectPr>
      </w:pPr>
    </w:p>
    <w:p w:rsidR="007C31C6" w:rsidRDefault="007C31C6" w:rsidP="00980694">
      <w:pPr>
        <w:rPr>
          <w:sz w:val="20"/>
        </w:rPr>
      </w:pPr>
    </w:p>
    <w:p w:rsidR="003F210F" w:rsidRPr="004D4C57" w:rsidRDefault="003F210F" w:rsidP="004D4C57">
      <w:pPr>
        <w:pStyle w:val="Heading3"/>
        <w:spacing w:before="0"/>
        <w:rPr>
          <w:rFonts w:ascii="Times New Roman" w:hAnsi="Times New Roman" w:cs="Times New Roman"/>
          <w:caps/>
          <w:sz w:val="22"/>
          <w:szCs w:val="22"/>
        </w:rPr>
      </w:pPr>
      <w:bookmarkStart w:id="5" w:name="NESHAPA"/>
      <w:r w:rsidRPr="004D4C57">
        <w:rPr>
          <w:rFonts w:ascii="Times New Roman" w:hAnsi="Times New Roman" w:cs="Times New Roman"/>
          <w:caps/>
          <w:sz w:val="22"/>
          <w:szCs w:val="22"/>
        </w:rPr>
        <w:t>Electronic</w:t>
      </w:r>
      <w:bookmarkEnd w:id="5"/>
      <w:r w:rsidRPr="004D4C57">
        <w:rPr>
          <w:rFonts w:ascii="Times New Roman" w:hAnsi="Times New Roman" w:cs="Times New Roman"/>
          <w:caps/>
          <w:sz w:val="22"/>
          <w:szCs w:val="22"/>
        </w:rPr>
        <w:t xml:space="preserve">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3F210F" w:rsidRPr="004D4C57" w:rsidTr="003F210F">
        <w:trPr>
          <w:tblCellSpacing w:w="15" w:type="dxa"/>
          <w:jc w:val="center"/>
        </w:trPr>
        <w:tc>
          <w:tcPr>
            <w:tcW w:w="0" w:type="auto"/>
            <w:hideMark/>
          </w:tcPr>
          <w:p w:rsidR="003F210F" w:rsidRPr="004D4C57" w:rsidRDefault="003F210F" w:rsidP="004D4C57">
            <w:pPr>
              <w:pStyle w:val="updated"/>
              <w:jc w:val="left"/>
              <w:rPr>
                <w:rFonts w:ascii="Times New Roman" w:hAnsi="Times New Roman" w:cs="Times New Roman"/>
                <w:sz w:val="22"/>
                <w:szCs w:val="22"/>
              </w:rPr>
            </w:pPr>
            <w:r w:rsidRPr="004D4C57">
              <w:rPr>
                <w:rFonts w:ascii="Times New Roman" w:hAnsi="Times New Roman" w:cs="Times New Roman"/>
                <w:sz w:val="22"/>
                <w:szCs w:val="22"/>
              </w:rPr>
              <w:t>e-CFR data is current as of May 19, 2017</w:t>
            </w:r>
          </w:p>
        </w:tc>
      </w:tr>
    </w:tbl>
    <w:p w:rsidR="003F210F" w:rsidRPr="004D4C57" w:rsidRDefault="003F210F" w:rsidP="004D4C57">
      <w:pPr>
        <w:rPr>
          <w:vanish/>
          <w:szCs w:val="22"/>
        </w:rPr>
      </w:pPr>
    </w:p>
    <w:tbl>
      <w:tblPr>
        <w:tblpPr w:leftFromText="180" w:rightFromText="180"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5645"/>
      </w:tblGrid>
      <w:tr w:rsidR="003F210F" w:rsidRPr="004D4C57" w:rsidTr="00CA2B24">
        <w:trPr>
          <w:tblCellSpacing w:w="15" w:type="dxa"/>
        </w:trPr>
        <w:tc>
          <w:tcPr>
            <w:tcW w:w="0" w:type="auto"/>
            <w:hideMark/>
          </w:tcPr>
          <w:p w:rsidR="003F210F" w:rsidRPr="004D4C57" w:rsidRDefault="003F210F" w:rsidP="00CA2B24">
            <w:pPr>
              <w:pStyle w:val="fp"/>
              <w:rPr>
                <w:sz w:val="22"/>
                <w:szCs w:val="22"/>
              </w:rPr>
            </w:pPr>
            <w:r w:rsidRPr="00CA2B24">
              <w:rPr>
                <w:sz w:val="22"/>
                <w:szCs w:val="22"/>
              </w:rPr>
              <w:t>Title 40</w:t>
            </w:r>
            <w:r w:rsidRPr="004D4C57">
              <w:rPr>
                <w:sz w:val="22"/>
                <w:szCs w:val="22"/>
              </w:rPr>
              <w:t xml:space="preserve"> → </w:t>
            </w:r>
            <w:r w:rsidRPr="00CA2B24">
              <w:rPr>
                <w:sz w:val="22"/>
                <w:szCs w:val="22"/>
              </w:rPr>
              <w:t>Chapter I</w:t>
            </w:r>
            <w:r w:rsidRPr="004D4C57">
              <w:rPr>
                <w:sz w:val="22"/>
                <w:szCs w:val="22"/>
              </w:rPr>
              <w:t xml:space="preserve"> → </w:t>
            </w:r>
            <w:r w:rsidRPr="00CA2B24">
              <w:rPr>
                <w:sz w:val="22"/>
                <w:szCs w:val="22"/>
              </w:rPr>
              <w:t>Subchapter C</w:t>
            </w:r>
            <w:r w:rsidRPr="004D4C57">
              <w:rPr>
                <w:sz w:val="22"/>
                <w:szCs w:val="22"/>
              </w:rPr>
              <w:t xml:space="preserve"> → </w:t>
            </w:r>
            <w:r w:rsidRPr="00CA2B24">
              <w:rPr>
                <w:sz w:val="22"/>
                <w:szCs w:val="22"/>
              </w:rPr>
              <w:t>Part 63</w:t>
            </w:r>
            <w:r w:rsidRPr="004D4C57">
              <w:rPr>
                <w:sz w:val="22"/>
                <w:szCs w:val="22"/>
              </w:rPr>
              <w:t xml:space="preserve"> → Subpart A</w:t>
            </w:r>
          </w:p>
          <w:p w:rsidR="003F210F" w:rsidRPr="004D4C57" w:rsidRDefault="007841E9" w:rsidP="00CA2B24">
            <w:pPr>
              <w:rPr>
                <w:szCs w:val="22"/>
              </w:rPr>
            </w:pPr>
            <w:r>
              <w:rPr>
                <w:szCs w:val="22"/>
              </w:rPr>
              <w:pict>
                <v:rect id="_x0000_i1025" style="width:0;height:1.5pt" o:hrstd="t" o:hrnoshade="t" o:hr="t" fillcolor="black" stroked="f"/>
              </w:pict>
            </w:r>
          </w:p>
        </w:tc>
      </w:tr>
    </w:tbl>
    <w:p w:rsidR="003F210F" w:rsidRPr="004D4C57" w:rsidRDefault="00CA2B24" w:rsidP="004D4C57">
      <w:pPr>
        <w:pStyle w:val="fp"/>
        <w:rPr>
          <w:sz w:val="22"/>
          <w:szCs w:val="22"/>
        </w:rPr>
      </w:pPr>
      <w:r>
        <w:rPr>
          <w:sz w:val="22"/>
          <w:szCs w:val="22"/>
        </w:rPr>
        <w:br w:type="textWrapping" w:clear="all"/>
      </w:r>
    </w:p>
    <w:p w:rsidR="003F210F" w:rsidRPr="004D4C57" w:rsidRDefault="003F210F" w:rsidP="004D4C57">
      <w:pPr>
        <w:pStyle w:val="fp"/>
        <w:rPr>
          <w:sz w:val="22"/>
          <w:szCs w:val="22"/>
        </w:rPr>
      </w:pPr>
      <w:r w:rsidRPr="004D4C57">
        <w:rPr>
          <w:sz w:val="22"/>
          <w:szCs w:val="22"/>
        </w:rPr>
        <w:t xml:space="preserve">Title 40: Protection of Environment </w:t>
      </w:r>
      <w:r w:rsidRPr="004D4C57">
        <w:rPr>
          <w:sz w:val="22"/>
          <w:szCs w:val="22"/>
        </w:rPr>
        <w:br/>
      </w:r>
      <w:r w:rsidRPr="00CA2B24">
        <w:rPr>
          <w:sz w:val="22"/>
          <w:szCs w:val="22"/>
        </w:rPr>
        <w:t>PART 63—NATIONAL EMISSION STANDARDS FOR HAZARDOUS AIR POLLUTANTS FOR SOURCE CATEGORIES</w:t>
      </w:r>
      <w:r w:rsidRPr="004D4C57">
        <w:rPr>
          <w:sz w:val="22"/>
          <w:szCs w:val="22"/>
        </w:rPr>
        <w:t xml:space="preserve"> </w:t>
      </w:r>
    </w:p>
    <w:p w:rsidR="003F210F" w:rsidRPr="004D4C57" w:rsidRDefault="007841E9" w:rsidP="004D4C57">
      <w:pPr>
        <w:rPr>
          <w:szCs w:val="22"/>
        </w:rPr>
      </w:pPr>
      <w:r>
        <w:rPr>
          <w:szCs w:val="22"/>
        </w:rPr>
        <w:pict>
          <v:rect id="_x0000_i1026" style="width:0;height:1.5pt" o:hrstd="t" o:hr="t" fillcolor="#a0a0a0" stroked="f"/>
        </w:pict>
      </w:r>
    </w:p>
    <w:p w:rsidR="003F210F" w:rsidRPr="004D4C57" w:rsidRDefault="003F210F" w:rsidP="004D4C57">
      <w:pPr>
        <w:pStyle w:val="Heading2"/>
        <w:rPr>
          <w:rFonts w:ascii="Times New Roman" w:hAnsi="Times New Roman" w:cs="Times New Roman"/>
          <w:sz w:val="22"/>
          <w:szCs w:val="22"/>
        </w:rPr>
      </w:pPr>
      <w:bookmarkStart w:id="6" w:name="_top"/>
      <w:bookmarkEnd w:id="6"/>
      <w:r w:rsidRPr="004D4C57">
        <w:rPr>
          <w:rFonts w:ascii="Times New Roman" w:hAnsi="Times New Roman" w:cs="Times New Roman"/>
          <w:sz w:val="22"/>
          <w:szCs w:val="22"/>
        </w:rPr>
        <w:t>Subpart A—General Provisions</w:t>
      </w:r>
    </w:p>
    <w:p w:rsidR="003F210F" w:rsidRPr="004D4C57" w:rsidRDefault="007841E9" w:rsidP="004D4C57">
      <w:pPr>
        <w:rPr>
          <w:szCs w:val="22"/>
        </w:rPr>
      </w:pPr>
      <w:r>
        <w:rPr>
          <w:szCs w:val="22"/>
        </w:rPr>
        <w:pict>
          <v:rect id="_x0000_i1027" style="width:0;height:1.5pt" o:hrstd="t" o:hr="t" fillcolor="#a0a0a0" stroked="f"/>
        </w:pict>
      </w:r>
    </w:p>
    <w:p w:rsidR="003F210F" w:rsidRPr="004D4C57" w:rsidRDefault="003F210F" w:rsidP="004D4C57">
      <w:pPr>
        <w:rPr>
          <w:szCs w:val="22"/>
        </w:rPr>
      </w:pPr>
      <w:r w:rsidRPr="004D4C57">
        <w:rPr>
          <w:b/>
          <w:bCs/>
          <w:szCs w:val="22"/>
        </w:rPr>
        <w:t>Contents</w:t>
      </w:r>
      <w:r w:rsidRPr="004D4C57">
        <w:rPr>
          <w:szCs w:val="22"/>
        </w:rPr>
        <w:br/>
      </w:r>
      <w:r w:rsidRPr="00CA2B24">
        <w:rPr>
          <w:szCs w:val="22"/>
        </w:rPr>
        <w:t>§63.1   Applicability.</w:t>
      </w:r>
      <w:r w:rsidRPr="004D4C57">
        <w:rPr>
          <w:szCs w:val="22"/>
        </w:rPr>
        <w:br/>
      </w:r>
      <w:r w:rsidRPr="00CA2B24">
        <w:rPr>
          <w:szCs w:val="22"/>
        </w:rPr>
        <w:t>§63.2   Definitions.</w:t>
      </w:r>
      <w:r w:rsidRPr="004D4C57">
        <w:rPr>
          <w:szCs w:val="22"/>
        </w:rPr>
        <w:br/>
      </w:r>
      <w:r w:rsidRPr="00CA2B24">
        <w:rPr>
          <w:szCs w:val="22"/>
        </w:rPr>
        <w:t>§63.3   Units and abbreviations.</w:t>
      </w:r>
      <w:r w:rsidRPr="004D4C57">
        <w:rPr>
          <w:szCs w:val="22"/>
        </w:rPr>
        <w:br/>
      </w:r>
      <w:r w:rsidRPr="00CA2B24">
        <w:rPr>
          <w:szCs w:val="22"/>
        </w:rPr>
        <w:t>§63.4   Prohibited activities and circumvention.</w:t>
      </w:r>
      <w:r w:rsidRPr="004D4C57">
        <w:rPr>
          <w:szCs w:val="22"/>
        </w:rPr>
        <w:br/>
      </w:r>
      <w:r w:rsidRPr="00CA2B24">
        <w:rPr>
          <w:szCs w:val="22"/>
        </w:rPr>
        <w:t>§63.5   Preconstruction review and notification requirements.</w:t>
      </w:r>
      <w:r w:rsidRPr="004D4C57">
        <w:rPr>
          <w:szCs w:val="22"/>
        </w:rPr>
        <w:br/>
      </w:r>
      <w:r w:rsidRPr="00CA2B24">
        <w:rPr>
          <w:szCs w:val="22"/>
        </w:rPr>
        <w:t>§63.6   Compliance with standards and maintenance requirements.</w:t>
      </w:r>
      <w:r w:rsidRPr="004D4C57">
        <w:rPr>
          <w:szCs w:val="22"/>
        </w:rPr>
        <w:br/>
      </w:r>
      <w:r w:rsidRPr="00CA2B24">
        <w:rPr>
          <w:szCs w:val="22"/>
        </w:rPr>
        <w:t>§63.7   Performance testing requirements.</w:t>
      </w:r>
      <w:r w:rsidRPr="004D4C57">
        <w:rPr>
          <w:szCs w:val="22"/>
        </w:rPr>
        <w:br/>
      </w:r>
      <w:r w:rsidRPr="00CA2B24">
        <w:rPr>
          <w:szCs w:val="22"/>
        </w:rPr>
        <w:t>§63.8   Monitoring requirements.</w:t>
      </w:r>
      <w:r w:rsidRPr="004D4C57">
        <w:rPr>
          <w:szCs w:val="22"/>
        </w:rPr>
        <w:br/>
      </w:r>
      <w:r w:rsidRPr="00CA2B24">
        <w:rPr>
          <w:szCs w:val="22"/>
        </w:rPr>
        <w:t>§63.9   Notification requirements.</w:t>
      </w:r>
      <w:r w:rsidRPr="004D4C57">
        <w:rPr>
          <w:szCs w:val="22"/>
        </w:rPr>
        <w:br/>
      </w:r>
      <w:r w:rsidRPr="00CA2B24">
        <w:rPr>
          <w:szCs w:val="22"/>
        </w:rPr>
        <w:t>§63.10   Recordkeeping and reporting requirements.</w:t>
      </w:r>
      <w:r w:rsidRPr="004D4C57">
        <w:rPr>
          <w:szCs w:val="22"/>
        </w:rPr>
        <w:br/>
      </w:r>
      <w:r w:rsidRPr="00CA2B24">
        <w:rPr>
          <w:szCs w:val="22"/>
        </w:rPr>
        <w:t>§63.11   Control device and work practice requirements.</w:t>
      </w:r>
      <w:r w:rsidRPr="004D4C57">
        <w:rPr>
          <w:szCs w:val="22"/>
        </w:rPr>
        <w:br/>
      </w:r>
      <w:r w:rsidRPr="00CA2B24">
        <w:rPr>
          <w:szCs w:val="22"/>
        </w:rPr>
        <w:t>§63.12   State authority and delegations.</w:t>
      </w:r>
      <w:r w:rsidRPr="004D4C57">
        <w:rPr>
          <w:szCs w:val="22"/>
        </w:rPr>
        <w:br/>
      </w:r>
      <w:r w:rsidRPr="00CA2B24">
        <w:rPr>
          <w:szCs w:val="22"/>
        </w:rPr>
        <w:t>§63.13   Addresses of State air pollution control agencies and EPA Regional Offices.</w:t>
      </w:r>
      <w:r w:rsidRPr="004D4C57">
        <w:rPr>
          <w:szCs w:val="22"/>
        </w:rPr>
        <w:br/>
      </w:r>
      <w:r w:rsidRPr="00CA2B24">
        <w:rPr>
          <w:szCs w:val="22"/>
        </w:rPr>
        <w:t>§63.14   Incorporations by reference.</w:t>
      </w:r>
      <w:r w:rsidRPr="004D4C57">
        <w:rPr>
          <w:szCs w:val="22"/>
        </w:rPr>
        <w:br/>
      </w:r>
      <w:r w:rsidRPr="00CA2B24">
        <w:rPr>
          <w:szCs w:val="22"/>
        </w:rPr>
        <w:t>§63.15   Availability of information and confidentiality.</w:t>
      </w:r>
      <w:r w:rsidRPr="004D4C57">
        <w:rPr>
          <w:szCs w:val="22"/>
        </w:rPr>
        <w:br/>
      </w:r>
      <w:r w:rsidRPr="00CA2B24">
        <w:rPr>
          <w:szCs w:val="22"/>
        </w:rPr>
        <w:t>§63.16   Performance Track Provisions.</w:t>
      </w:r>
      <w:r w:rsidRPr="004D4C57">
        <w:rPr>
          <w:szCs w:val="22"/>
        </w:rPr>
        <w:br/>
      </w:r>
      <w:r w:rsidRPr="00CA2B24">
        <w:rPr>
          <w:szCs w:val="22"/>
        </w:rPr>
        <w:t xml:space="preserve">Table 1 to Subpart A of Part 63—Detection Sensitivity Levels (grams per hour) </w:t>
      </w:r>
    </w:p>
    <w:p w:rsidR="003F210F" w:rsidRPr="004D4C57" w:rsidRDefault="007841E9" w:rsidP="004D4C57">
      <w:pPr>
        <w:rPr>
          <w:szCs w:val="22"/>
        </w:rPr>
      </w:pPr>
      <w:r>
        <w:rPr>
          <w:szCs w:val="22"/>
        </w:rPr>
        <w:pict>
          <v:rect id="_x0000_i1028" style="width:0;height:1.5pt" o:hrstd="t" o:hr="t" fillcolor="#a0a0a0" stroked="f"/>
        </w:pict>
      </w:r>
    </w:p>
    <w:p w:rsidR="003F210F" w:rsidRPr="004D4C57" w:rsidRDefault="003F210F" w:rsidP="004D4C57">
      <w:pPr>
        <w:pStyle w:val="source"/>
        <w:rPr>
          <w:sz w:val="22"/>
          <w:szCs w:val="22"/>
        </w:rPr>
      </w:pPr>
      <w:r w:rsidRPr="004D4C57">
        <w:rPr>
          <w:smallCaps/>
          <w:sz w:val="22"/>
          <w:szCs w:val="22"/>
        </w:rPr>
        <w:t>Source:</w:t>
      </w:r>
      <w:r w:rsidRPr="004D4C57">
        <w:rPr>
          <w:sz w:val="22"/>
          <w:szCs w:val="22"/>
        </w:rPr>
        <w:t xml:space="preserve"> 59 FR 12430, Mar. 16, 1994, unless otherwise noted. </w:t>
      </w:r>
    </w:p>
    <w:p w:rsidR="003F210F" w:rsidRPr="004D4C57" w:rsidRDefault="003F210F" w:rsidP="004D4C57">
      <w:pPr>
        <w:pStyle w:val="Heading2"/>
        <w:rPr>
          <w:rFonts w:ascii="Times New Roman" w:hAnsi="Times New Roman" w:cs="Times New Roman"/>
          <w:sz w:val="22"/>
          <w:szCs w:val="22"/>
        </w:rPr>
      </w:pPr>
      <w:bookmarkStart w:id="7" w:name="se40.11.63_11"/>
      <w:bookmarkEnd w:id="7"/>
      <w:r w:rsidRPr="004D4C57">
        <w:rPr>
          <w:rFonts w:ascii="Times New Roman" w:hAnsi="Times New Roman" w:cs="Times New Roman"/>
          <w:sz w:val="22"/>
          <w:szCs w:val="22"/>
        </w:rPr>
        <w:t>§63.1   Applicability.</w:t>
      </w:r>
    </w:p>
    <w:p w:rsidR="003F210F" w:rsidRPr="004D4C57" w:rsidRDefault="003F210F" w:rsidP="004D4C57">
      <w:pPr>
        <w:pStyle w:val="NormalWeb"/>
        <w:rPr>
          <w:sz w:val="22"/>
          <w:szCs w:val="22"/>
        </w:rPr>
      </w:pPr>
      <w:r w:rsidRPr="004D4C57">
        <w:rPr>
          <w:sz w:val="22"/>
          <w:szCs w:val="22"/>
        </w:rPr>
        <w:t xml:space="preserve">(a) </w:t>
      </w:r>
      <w:r w:rsidRPr="004D4C57">
        <w:rPr>
          <w:i/>
          <w:iCs/>
          <w:sz w:val="22"/>
          <w:szCs w:val="22"/>
        </w:rPr>
        <w:t>General.</w:t>
      </w:r>
      <w:r w:rsidRPr="004D4C57">
        <w:rPr>
          <w:sz w:val="22"/>
          <w:szCs w:val="22"/>
        </w:rPr>
        <w:t xml:space="preserve"> (1) Terms used throughout this part are defined in §63.2 or in the Clean Air Act (Act) as amended in 1990, except that individual subparts of this part may include specific definitions in addition to or that supersede definitions in §63.2. </w:t>
      </w:r>
    </w:p>
    <w:p w:rsidR="003F210F" w:rsidRPr="004D4C57" w:rsidRDefault="003F210F" w:rsidP="004D4C57">
      <w:pPr>
        <w:pStyle w:val="NormalWeb"/>
        <w:rPr>
          <w:sz w:val="22"/>
          <w:szCs w:val="22"/>
        </w:rPr>
      </w:pPr>
      <w:r w:rsidRPr="004D4C57">
        <w:rPr>
          <w:sz w:val="22"/>
          <w:szCs w:val="22"/>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w:t>
      </w:r>
      <w:r w:rsidRPr="004D4C57">
        <w:rPr>
          <w:sz w:val="22"/>
          <w:szCs w:val="22"/>
        </w:rPr>
        <w:lastRenderedPageBreak/>
        <w:t xml:space="preserve">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3F210F" w:rsidRPr="004D4C57" w:rsidRDefault="003F210F" w:rsidP="004D4C57">
      <w:pPr>
        <w:pStyle w:val="NormalWeb"/>
        <w:rPr>
          <w:sz w:val="22"/>
          <w:szCs w:val="22"/>
        </w:rPr>
      </w:pPr>
      <w:r w:rsidRPr="004D4C57">
        <w:rPr>
          <w:sz w:val="22"/>
          <w:szCs w:val="22"/>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3F210F" w:rsidRPr="004D4C57" w:rsidRDefault="003F210F" w:rsidP="004D4C57">
      <w:pPr>
        <w:pStyle w:val="NormalWeb"/>
        <w:rPr>
          <w:sz w:val="22"/>
          <w:szCs w:val="22"/>
        </w:rPr>
      </w:pPr>
      <w:r w:rsidRPr="004D4C57">
        <w:rPr>
          <w:sz w:val="22"/>
          <w:szCs w:val="22"/>
        </w:rPr>
        <w:t xml:space="preserve">(4)(i) Each relevant standard in this part 63 must identify explicitly whether each provision in this subpart A is or is not included in such relevant standard. </w:t>
      </w:r>
    </w:p>
    <w:p w:rsidR="003F210F" w:rsidRPr="004D4C57" w:rsidRDefault="003F210F" w:rsidP="004D4C57">
      <w:pPr>
        <w:pStyle w:val="NormalWeb"/>
        <w:rPr>
          <w:sz w:val="22"/>
          <w:szCs w:val="22"/>
        </w:rPr>
      </w:pPr>
      <w:r w:rsidRPr="004D4C57">
        <w:rPr>
          <w:sz w:val="22"/>
          <w:szCs w:val="22"/>
        </w:rPr>
        <w:t xml:space="preserve">(ii) If a relevant part 63 </w:t>
      </w:r>
      <w:proofErr w:type="gramStart"/>
      <w:r w:rsidRPr="004D4C57">
        <w:rPr>
          <w:sz w:val="22"/>
          <w:szCs w:val="22"/>
        </w:rPr>
        <w:t>standard</w:t>
      </w:r>
      <w:proofErr w:type="gramEnd"/>
      <w:r w:rsidRPr="004D4C57">
        <w:rPr>
          <w:sz w:val="22"/>
          <w:szCs w:val="22"/>
        </w:rPr>
        <w:t xml:space="preserve"> incorporates the requirements of 40 CFR part 60, part 61 or other part 63 standards, the relevant part 63 standard must identify explicitly the applicability of each corresponding part 60, part 61, or other part 63 subpart A (General) provision. </w:t>
      </w:r>
    </w:p>
    <w:p w:rsidR="003F210F" w:rsidRPr="004D4C57" w:rsidRDefault="003F210F" w:rsidP="004D4C57">
      <w:pPr>
        <w:pStyle w:val="NormalWeb"/>
        <w:rPr>
          <w:sz w:val="22"/>
          <w:szCs w:val="22"/>
        </w:rPr>
      </w:pPr>
      <w:r w:rsidRPr="004D4C57">
        <w:rPr>
          <w:sz w:val="22"/>
          <w:szCs w:val="22"/>
        </w:rPr>
        <w:t xml:space="preserve">(iii) The General Provisions in this subpart A do not apply to regulations developed pursuant to section 112(r) of the amended Act, unless otherwise specified in those regulations. </w:t>
      </w:r>
    </w:p>
    <w:p w:rsidR="003F210F" w:rsidRPr="004D4C57" w:rsidRDefault="003F210F" w:rsidP="004D4C57">
      <w:pPr>
        <w:pStyle w:val="NormalWeb"/>
        <w:rPr>
          <w:sz w:val="22"/>
          <w:szCs w:val="22"/>
        </w:rPr>
      </w:pPr>
      <w:r w:rsidRPr="004D4C57">
        <w:rPr>
          <w:sz w:val="22"/>
          <w:szCs w:val="22"/>
        </w:rPr>
        <w:t xml:space="preserve">(5) [Reserved] </w:t>
      </w:r>
    </w:p>
    <w:p w:rsidR="003F210F" w:rsidRPr="004D4C57" w:rsidRDefault="003F210F" w:rsidP="004D4C57">
      <w:pPr>
        <w:pStyle w:val="NormalWeb"/>
        <w:rPr>
          <w:sz w:val="22"/>
          <w:szCs w:val="22"/>
        </w:rPr>
      </w:pPr>
      <w:r w:rsidRPr="004D4C57">
        <w:rPr>
          <w:sz w:val="22"/>
          <w:szCs w:val="22"/>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3F210F" w:rsidRPr="004D4C57" w:rsidRDefault="003F210F" w:rsidP="004D4C57">
      <w:pPr>
        <w:pStyle w:val="NormalWeb"/>
        <w:rPr>
          <w:sz w:val="22"/>
          <w:szCs w:val="22"/>
        </w:rPr>
      </w:pPr>
      <w:r w:rsidRPr="004D4C57">
        <w:rPr>
          <w:sz w:val="22"/>
          <w:szCs w:val="22"/>
        </w:rPr>
        <w:t>(</w:t>
      </w:r>
      <w:proofErr w:type="gramStart"/>
      <w:r w:rsidRPr="004D4C57">
        <w:rPr>
          <w:sz w:val="22"/>
          <w:szCs w:val="22"/>
        </w:rPr>
        <w:t>7)-(</w:t>
      </w:r>
      <w:proofErr w:type="gramEnd"/>
      <w:r w:rsidRPr="004D4C57">
        <w:rPr>
          <w:sz w:val="22"/>
          <w:szCs w:val="22"/>
        </w:rPr>
        <w:t xml:space="preserve">9) [Reserved] </w:t>
      </w:r>
    </w:p>
    <w:p w:rsidR="003F210F" w:rsidRPr="004D4C57" w:rsidRDefault="003F210F" w:rsidP="004D4C57">
      <w:pPr>
        <w:pStyle w:val="NormalWeb"/>
        <w:rPr>
          <w:sz w:val="22"/>
          <w:szCs w:val="22"/>
        </w:rPr>
      </w:pPr>
      <w:r w:rsidRPr="004D4C57">
        <w:rPr>
          <w:sz w:val="22"/>
          <w:szCs w:val="22"/>
        </w:rPr>
        <w:t>(10) For the purposes of this part, time periods specified in days shall be measured in calendar days, even if the word “calendar” is absent, unless otherwise specified in an applicable requirement.</w:t>
      </w:r>
    </w:p>
    <w:p w:rsidR="003F210F" w:rsidRPr="004D4C57" w:rsidRDefault="003F210F" w:rsidP="004D4C57">
      <w:pPr>
        <w:pStyle w:val="NormalWeb"/>
        <w:rPr>
          <w:sz w:val="22"/>
          <w:szCs w:val="22"/>
        </w:rPr>
      </w:pPr>
      <w:r w:rsidRPr="004D4C57">
        <w:rPr>
          <w:sz w:val="22"/>
          <w:szCs w:val="22"/>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w:t>
      </w:r>
      <w:proofErr w:type="gramStart"/>
      <w:r w:rsidRPr="004D4C57">
        <w:rPr>
          <w:sz w:val="22"/>
          <w:szCs w:val="22"/>
        </w:rPr>
        <w:t>particular event</w:t>
      </w:r>
      <w:proofErr w:type="gramEnd"/>
      <w:r w:rsidRPr="004D4C57">
        <w:rPr>
          <w:sz w:val="22"/>
          <w:szCs w:val="22"/>
        </w:rPr>
        <w:t xml:space="preserve">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w:t>
      </w:r>
      <w:proofErr w:type="gramStart"/>
      <w:r w:rsidRPr="004D4C57">
        <w:rPr>
          <w:sz w:val="22"/>
          <w:szCs w:val="22"/>
        </w:rPr>
        <w:t>similar to</w:t>
      </w:r>
      <w:proofErr w:type="gramEnd"/>
      <w:r w:rsidRPr="004D4C57">
        <w:rPr>
          <w:sz w:val="22"/>
          <w:szCs w:val="22"/>
        </w:rPr>
        <w:t xml:space="preserve"> the postmark provided by the U.S. Postal Service, or alternative means of delivery agreed to by the permitting authority, is acceptable. </w:t>
      </w:r>
    </w:p>
    <w:p w:rsidR="003F210F" w:rsidRPr="004D4C57" w:rsidRDefault="003F210F" w:rsidP="004D4C57">
      <w:pPr>
        <w:pStyle w:val="NormalWeb"/>
        <w:rPr>
          <w:sz w:val="22"/>
          <w:szCs w:val="22"/>
        </w:rPr>
      </w:pPr>
      <w:r w:rsidRPr="004D4C57">
        <w:rPr>
          <w:sz w:val="22"/>
          <w:szCs w:val="22"/>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w:t>
      </w:r>
      <w:proofErr w:type="gramStart"/>
      <w:r w:rsidRPr="004D4C57">
        <w:rPr>
          <w:sz w:val="22"/>
          <w:szCs w:val="22"/>
        </w:rPr>
        <w:t>mutual agreement</w:t>
      </w:r>
      <w:proofErr w:type="gramEnd"/>
      <w:r w:rsidRPr="004D4C57">
        <w:rPr>
          <w:sz w:val="22"/>
          <w:szCs w:val="22"/>
        </w:rPr>
        <w:t xml:space="preserve"> between the owner or operator and the Administrator. Procedures governing the implementation of this provision are specified in §63.9(i). </w:t>
      </w:r>
    </w:p>
    <w:p w:rsidR="003F210F" w:rsidRPr="004D4C57" w:rsidRDefault="003F210F" w:rsidP="004D4C57">
      <w:pPr>
        <w:pStyle w:val="NormalWeb"/>
        <w:rPr>
          <w:sz w:val="22"/>
          <w:szCs w:val="22"/>
        </w:rPr>
      </w:pPr>
      <w:r w:rsidRPr="004D4C57">
        <w:rPr>
          <w:sz w:val="22"/>
          <w:szCs w:val="22"/>
        </w:rPr>
        <w:lastRenderedPageBreak/>
        <w:t xml:space="preserve">(b) </w:t>
      </w:r>
      <w:r w:rsidRPr="004D4C57">
        <w:rPr>
          <w:i/>
          <w:iCs/>
          <w:sz w:val="22"/>
          <w:szCs w:val="22"/>
        </w:rPr>
        <w:t>Initial applicability determination for this part.</w:t>
      </w:r>
      <w:r w:rsidRPr="004D4C57">
        <w:rPr>
          <w:sz w:val="22"/>
          <w:szCs w:val="22"/>
        </w:rPr>
        <w:t xml:space="preserve"> (1) The provisions of this part apply to the owner or operator of any stationary source that—</w:t>
      </w:r>
    </w:p>
    <w:p w:rsidR="003F210F" w:rsidRPr="004D4C57" w:rsidRDefault="003F210F" w:rsidP="004D4C57">
      <w:pPr>
        <w:pStyle w:val="NormalWeb"/>
        <w:rPr>
          <w:sz w:val="22"/>
          <w:szCs w:val="22"/>
        </w:rPr>
      </w:pPr>
      <w:r w:rsidRPr="004D4C57">
        <w:rPr>
          <w:sz w:val="22"/>
          <w:szCs w:val="22"/>
        </w:rPr>
        <w:t xml:space="preserve">(i) Emits or has the potential to emit any hazardous air pollutant listed in or pursuant to section 112(b) of the Act; and </w:t>
      </w:r>
    </w:p>
    <w:p w:rsidR="003F210F" w:rsidRPr="004D4C57" w:rsidRDefault="003F210F" w:rsidP="004D4C57">
      <w:pPr>
        <w:pStyle w:val="NormalWeb"/>
        <w:rPr>
          <w:sz w:val="22"/>
          <w:szCs w:val="22"/>
        </w:rPr>
      </w:pPr>
      <w:r w:rsidRPr="004D4C57">
        <w:rPr>
          <w:sz w:val="22"/>
          <w:szCs w:val="22"/>
        </w:rPr>
        <w:t xml:space="preserve">(ii) Is subject to any standard, limitation, prohibition, or other federally enforceable requirement established pursuant to this part. </w:t>
      </w:r>
    </w:p>
    <w:p w:rsidR="003F210F" w:rsidRPr="004D4C57" w:rsidRDefault="003F210F" w:rsidP="004D4C57">
      <w:pPr>
        <w:pStyle w:val="NormalWeb"/>
        <w:rPr>
          <w:sz w:val="22"/>
          <w:szCs w:val="22"/>
        </w:rPr>
      </w:pPr>
      <w:r w:rsidRPr="004D4C57">
        <w:rPr>
          <w:sz w:val="22"/>
          <w:szCs w:val="22"/>
        </w:rPr>
        <w:t>(2) [Reserved]</w:t>
      </w:r>
    </w:p>
    <w:p w:rsidR="003F210F" w:rsidRPr="004D4C57" w:rsidRDefault="003F210F" w:rsidP="004D4C57">
      <w:pPr>
        <w:pStyle w:val="NormalWeb"/>
        <w:rPr>
          <w:sz w:val="22"/>
          <w:szCs w:val="22"/>
        </w:rPr>
      </w:pPr>
      <w:r w:rsidRPr="004D4C57">
        <w:rPr>
          <w:sz w:val="22"/>
          <w:szCs w:val="22"/>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3F210F" w:rsidRPr="004D4C57" w:rsidRDefault="003F210F" w:rsidP="004D4C57">
      <w:pPr>
        <w:pStyle w:val="NormalWeb"/>
        <w:rPr>
          <w:sz w:val="22"/>
          <w:szCs w:val="22"/>
        </w:rPr>
      </w:pPr>
      <w:r w:rsidRPr="004D4C57">
        <w:rPr>
          <w:sz w:val="22"/>
          <w:szCs w:val="22"/>
        </w:rPr>
        <w:t xml:space="preserve">(c) </w:t>
      </w:r>
      <w:r w:rsidRPr="004D4C57">
        <w:rPr>
          <w:i/>
          <w:iCs/>
          <w:sz w:val="22"/>
          <w:szCs w:val="22"/>
        </w:rPr>
        <w:t>Applicability of this part after a relevant standard has been set under this part.</w:t>
      </w:r>
      <w:r w:rsidRPr="004D4C57">
        <w:rPr>
          <w:sz w:val="22"/>
          <w:szCs w:val="22"/>
        </w:rPr>
        <w:t xml:space="preserve"> (1) If a relevant standard has been established under this part, the owner or operator of an affected source must comply with the provisions of that standard and of this subpart as provided in paragraph (a)(4) of this section. </w:t>
      </w:r>
    </w:p>
    <w:p w:rsidR="003F210F" w:rsidRPr="004D4C57" w:rsidRDefault="003F210F" w:rsidP="004D4C57">
      <w:pPr>
        <w:pStyle w:val="NormalWeb"/>
        <w:rPr>
          <w:sz w:val="22"/>
          <w:szCs w:val="22"/>
        </w:rPr>
      </w:pPr>
      <w:r w:rsidRPr="004D4C57">
        <w:rPr>
          <w:sz w:val="22"/>
          <w:szCs w:val="22"/>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3F210F" w:rsidRPr="004D4C57" w:rsidRDefault="003F210F" w:rsidP="004D4C57">
      <w:pPr>
        <w:pStyle w:val="NormalWeb"/>
        <w:rPr>
          <w:sz w:val="22"/>
          <w:szCs w:val="22"/>
        </w:rPr>
      </w:pPr>
      <w:r w:rsidRPr="004D4C57">
        <w:rPr>
          <w:sz w:val="22"/>
          <w:szCs w:val="22"/>
        </w:rPr>
        <w:t xml:space="preserve">(i) States will have the option to exclude area sources affected by that standard from the requirement to obtain a title V permit (i.e., the standard will exempt the category of area sources altogether from the permitting requirement); </w:t>
      </w:r>
    </w:p>
    <w:p w:rsidR="003F210F" w:rsidRPr="004D4C57" w:rsidRDefault="003F210F" w:rsidP="004D4C57">
      <w:pPr>
        <w:pStyle w:val="NormalWeb"/>
        <w:rPr>
          <w:sz w:val="22"/>
          <w:szCs w:val="22"/>
        </w:rPr>
      </w:pPr>
      <w:r w:rsidRPr="004D4C57">
        <w:rPr>
          <w:sz w:val="22"/>
          <w:szCs w:val="22"/>
        </w:rPr>
        <w:t xml:space="preserve">(ii) States will have the option to defer permitting of area sources in that category until the Administrator takes rulemaking action to determine applicability of the permitting requirements; or </w:t>
      </w:r>
    </w:p>
    <w:p w:rsidR="003F210F" w:rsidRPr="004D4C57" w:rsidRDefault="003F210F" w:rsidP="004D4C57">
      <w:pPr>
        <w:pStyle w:val="NormalWeb"/>
        <w:rPr>
          <w:sz w:val="22"/>
          <w:szCs w:val="22"/>
        </w:rPr>
      </w:pPr>
      <w:r w:rsidRPr="004D4C57">
        <w:rPr>
          <w:sz w:val="22"/>
          <w:szCs w:val="22"/>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3F210F" w:rsidRPr="004D4C57" w:rsidRDefault="003F210F" w:rsidP="004D4C57">
      <w:pPr>
        <w:pStyle w:val="NormalWeb"/>
        <w:rPr>
          <w:sz w:val="22"/>
          <w:szCs w:val="22"/>
        </w:rPr>
      </w:pPr>
      <w:r w:rsidRPr="004D4C57">
        <w:rPr>
          <w:sz w:val="22"/>
          <w:szCs w:val="22"/>
        </w:rPr>
        <w:t>(</w:t>
      </w:r>
      <w:proofErr w:type="gramStart"/>
      <w:r w:rsidRPr="004D4C57">
        <w:rPr>
          <w:sz w:val="22"/>
          <w:szCs w:val="22"/>
        </w:rPr>
        <w:t>3)-(</w:t>
      </w:r>
      <w:proofErr w:type="gramEnd"/>
      <w:r w:rsidRPr="004D4C57">
        <w:rPr>
          <w:sz w:val="22"/>
          <w:szCs w:val="22"/>
        </w:rPr>
        <w:t xml:space="preserve">4) [Reserved] </w:t>
      </w:r>
    </w:p>
    <w:p w:rsidR="003F210F" w:rsidRPr="004D4C57" w:rsidRDefault="003F210F" w:rsidP="004D4C57">
      <w:pPr>
        <w:pStyle w:val="NormalWeb"/>
        <w:rPr>
          <w:sz w:val="22"/>
          <w:szCs w:val="22"/>
        </w:rPr>
      </w:pPr>
      <w:r w:rsidRPr="004D4C57">
        <w:rPr>
          <w:sz w:val="22"/>
          <w:szCs w:val="22"/>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3F210F" w:rsidRPr="004D4C57" w:rsidRDefault="003F210F" w:rsidP="004D4C57">
      <w:pPr>
        <w:pStyle w:val="NormalWeb"/>
        <w:rPr>
          <w:sz w:val="22"/>
          <w:szCs w:val="22"/>
        </w:rPr>
      </w:pPr>
      <w:r w:rsidRPr="004D4C57">
        <w:rPr>
          <w:sz w:val="22"/>
          <w:szCs w:val="22"/>
        </w:rPr>
        <w:t xml:space="preserve">(d) [Reserved] </w:t>
      </w:r>
    </w:p>
    <w:p w:rsidR="003F210F" w:rsidRPr="004D4C57" w:rsidRDefault="003F210F" w:rsidP="004D4C57">
      <w:pPr>
        <w:pStyle w:val="NormalWeb"/>
        <w:rPr>
          <w:sz w:val="22"/>
          <w:szCs w:val="22"/>
        </w:rPr>
      </w:pPr>
      <w:r w:rsidRPr="004D4C57">
        <w:rPr>
          <w:sz w:val="22"/>
          <w:szCs w:val="22"/>
        </w:rPr>
        <w:t xml:space="preserve">(e)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w:t>
      </w:r>
      <w:r w:rsidRPr="004D4C57">
        <w:rPr>
          <w:sz w:val="22"/>
          <w:szCs w:val="22"/>
        </w:rPr>
        <w:lastRenderedPageBreak/>
        <w:t>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3F210F" w:rsidRPr="004D4C57" w:rsidRDefault="003F210F" w:rsidP="004D4C57">
      <w:pPr>
        <w:pStyle w:val="cita"/>
        <w:rPr>
          <w:sz w:val="22"/>
          <w:szCs w:val="22"/>
        </w:rPr>
      </w:pPr>
      <w:r w:rsidRPr="004D4C57">
        <w:rPr>
          <w:sz w:val="22"/>
          <w:szCs w:val="22"/>
        </w:rPr>
        <w:t>[59 FR 12430, Mar. 16, 1994, as amended at 67 FR 16595, Apr. 5, 2002]</w:t>
      </w:r>
    </w:p>
    <w:p w:rsidR="003F210F" w:rsidRPr="004D4C57" w:rsidRDefault="003F210F" w:rsidP="004D4C57">
      <w:pPr>
        <w:pStyle w:val="Heading2"/>
        <w:rPr>
          <w:rFonts w:ascii="Times New Roman" w:hAnsi="Times New Roman" w:cs="Times New Roman"/>
          <w:sz w:val="22"/>
          <w:szCs w:val="22"/>
        </w:rPr>
      </w:pPr>
      <w:bookmarkStart w:id="8" w:name="se40.11.63_12"/>
      <w:bookmarkEnd w:id="8"/>
      <w:r w:rsidRPr="004D4C57">
        <w:rPr>
          <w:rFonts w:ascii="Times New Roman" w:hAnsi="Times New Roman" w:cs="Times New Roman"/>
          <w:sz w:val="22"/>
          <w:szCs w:val="22"/>
        </w:rPr>
        <w:t>§63.2   Definitions.</w:t>
      </w:r>
    </w:p>
    <w:p w:rsidR="003F210F" w:rsidRPr="004D4C57" w:rsidRDefault="003F210F" w:rsidP="004D4C57">
      <w:pPr>
        <w:pStyle w:val="NormalWeb"/>
        <w:rPr>
          <w:sz w:val="22"/>
          <w:szCs w:val="22"/>
        </w:rPr>
      </w:pPr>
      <w:r w:rsidRPr="004D4C57">
        <w:rPr>
          <w:sz w:val="22"/>
          <w:szCs w:val="22"/>
        </w:rPr>
        <w:t xml:space="preserve">The terms used in this part are defined in the Act or in this section as follows: </w:t>
      </w:r>
    </w:p>
    <w:p w:rsidR="003F210F" w:rsidRPr="004D4C57" w:rsidRDefault="003F210F" w:rsidP="004D4C57">
      <w:pPr>
        <w:pStyle w:val="NormalWeb"/>
        <w:rPr>
          <w:sz w:val="22"/>
          <w:szCs w:val="22"/>
        </w:rPr>
      </w:pPr>
      <w:r w:rsidRPr="004D4C57">
        <w:rPr>
          <w:i/>
          <w:iCs/>
          <w:sz w:val="22"/>
          <w:szCs w:val="22"/>
        </w:rPr>
        <w:t>Act</w:t>
      </w:r>
      <w:r w:rsidRPr="004D4C57">
        <w:rPr>
          <w:sz w:val="22"/>
          <w:szCs w:val="22"/>
        </w:rPr>
        <w:t xml:space="preserve"> means the Clean Air Act (42 U.S.C. 7401 </w:t>
      </w:r>
      <w:r w:rsidRPr="004D4C57">
        <w:rPr>
          <w:i/>
          <w:iCs/>
          <w:sz w:val="22"/>
          <w:szCs w:val="22"/>
        </w:rPr>
        <w:t>et seq.,</w:t>
      </w:r>
      <w:r w:rsidRPr="004D4C57">
        <w:rPr>
          <w:sz w:val="22"/>
          <w:szCs w:val="22"/>
        </w:rPr>
        <w:t xml:space="preserve"> as amended by Pub. L. 101-549, 104 Stat. 2399). </w:t>
      </w:r>
    </w:p>
    <w:p w:rsidR="003F210F" w:rsidRPr="004D4C57" w:rsidRDefault="003F210F" w:rsidP="004D4C57">
      <w:pPr>
        <w:pStyle w:val="NormalWeb"/>
        <w:rPr>
          <w:sz w:val="22"/>
          <w:szCs w:val="22"/>
        </w:rPr>
      </w:pPr>
      <w:r w:rsidRPr="004D4C57">
        <w:rPr>
          <w:i/>
          <w:iCs/>
          <w:sz w:val="22"/>
          <w:szCs w:val="22"/>
        </w:rPr>
        <w:t>Actual emissions</w:t>
      </w:r>
      <w:r w:rsidRPr="004D4C57">
        <w:rPr>
          <w:sz w:val="22"/>
          <w:szCs w:val="22"/>
        </w:rPr>
        <w:t xml:space="preserve"> </w:t>
      </w:r>
      <w:proofErr w:type="gramStart"/>
      <w:r w:rsidRPr="004D4C57">
        <w:rPr>
          <w:sz w:val="22"/>
          <w:szCs w:val="22"/>
        </w:rPr>
        <w:t>is</w:t>
      </w:r>
      <w:proofErr w:type="gramEnd"/>
      <w:r w:rsidRPr="004D4C57">
        <w:rPr>
          <w:sz w:val="22"/>
          <w:szCs w:val="22"/>
        </w:rPr>
        <w:t xml:space="preserve"> defined in subpart D of this part for the purpose of granting a compliance extension for an early reduction of hazardous air pollutants. </w:t>
      </w:r>
    </w:p>
    <w:p w:rsidR="003F210F" w:rsidRPr="004D4C57" w:rsidRDefault="003F210F" w:rsidP="004D4C57">
      <w:pPr>
        <w:pStyle w:val="NormalWeb"/>
        <w:rPr>
          <w:sz w:val="22"/>
          <w:szCs w:val="22"/>
        </w:rPr>
      </w:pPr>
      <w:r w:rsidRPr="004D4C57">
        <w:rPr>
          <w:i/>
          <w:iCs/>
          <w:sz w:val="22"/>
          <w:szCs w:val="22"/>
        </w:rPr>
        <w:t>Administrator</w:t>
      </w:r>
      <w:r w:rsidRPr="004D4C57">
        <w:rPr>
          <w:sz w:val="22"/>
          <w:szCs w:val="22"/>
        </w:rPr>
        <w:t xml:space="preserve"> means the Administrator of the United States Environmental Protection Agency or his or her authorized representative (e.g., a State that has been delegated the authority to implement the provisions of this part). </w:t>
      </w:r>
    </w:p>
    <w:p w:rsidR="003F210F" w:rsidRPr="004D4C57" w:rsidRDefault="003F210F" w:rsidP="004D4C57">
      <w:pPr>
        <w:pStyle w:val="NormalWeb"/>
        <w:rPr>
          <w:sz w:val="22"/>
          <w:szCs w:val="22"/>
        </w:rPr>
      </w:pPr>
      <w:r w:rsidRPr="004D4C57">
        <w:rPr>
          <w:i/>
          <w:iCs/>
          <w:sz w:val="22"/>
          <w:szCs w:val="22"/>
        </w:rPr>
        <w:t>Affected source,</w:t>
      </w:r>
      <w:r w:rsidRPr="004D4C57">
        <w:rPr>
          <w:sz w:val="22"/>
          <w:szCs w:val="22"/>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3F210F" w:rsidRPr="004D4C57" w:rsidRDefault="003F210F" w:rsidP="004D4C57">
      <w:pPr>
        <w:pStyle w:val="NormalWeb"/>
        <w:rPr>
          <w:sz w:val="22"/>
          <w:szCs w:val="22"/>
        </w:rPr>
      </w:pPr>
      <w:r w:rsidRPr="004D4C57">
        <w:rPr>
          <w:i/>
          <w:iCs/>
          <w:sz w:val="22"/>
          <w:szCs w:val="22"/>
        </w:rPr>
        <w:t>Alternative emission limitation</w:t>
      </w:r>
      <w:r w:rsidRPr="004D4C57">
        <w:rPr>
          <w:sz w:val="22"/>
          <w:szCs w:val="22"/>
        </w:rPr>
        <w:t xml:space="preserve"> means conditions established pursuant to sections 112(i)(5) or 112(i)(6) of the Act by the Administrator or by a State with an approved permit program. </w:t>
      </w:r>
    </w:p>
    <w:p w:rsidR="003F210F" w:rsidRPr="004D4C57" w:rsidRDefault="003F210F" w:rsidP="004D4C57">
      <w:pPr>
        <w:pStyle w:val="NormalWeb"/>
        <w:rPr>
          <w:sz w:val="22"/>
          <w:szCs w:val="22"/>
        </w:rPr>
      </w:pPr>
      <w:r w:rsidRPr="004D4C57">
        <w:rPr>
          <w:i/>
          <w:iCs/>
          <w:sz w:val="22"/>
          <w:szCs w:val="22"/>
        </w:rPr>
        <w:t>Alternative emission standard</w:t>
      </w:r>
      <w:r w:rsidRPr="004D4C57">
        <w:rPr>
          <w:sz w:val="22"/>
          <w:szCs w:val="22"/>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3F210F" w:rsidRPr="004D4C57" w:rsidRDefault="003F210F" w:rsidP="004D4C57">
      <w:pPr>
        <w:pStyle w:val="NormalWeb"/>
        <w:rPr>
          <w:sz w:val="22"/>
          <w:szCs w:val="22"/>
        </w:rPr>
      </w:pPr>
      <w:r w:rsidRPr="004D4C57">
        <w:rPr>
          <w:i/>
          <w:iCs/>
          <w:sz w:val="22"/>
          <w:szCs w:val="22"/>
        </w:rPr>
        <w:t>Alternative test method</w:t>
      </w:r>
      <w:r w:rsidRPr="004D4C57">
        <w:rPr>
          <w:sz w:val="22"/>
          <w:szCs w:val="22"/>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3F210F" w:rsidRPr="004D4C57" w:rsidRDefault="003F210F" w:rsidP="004D4C57">
      <w:pPr>
        <w:pStyle w:val="NormalWeb"/>
        <w:rPr>
          <w:sz w:val="22"/>
          <w:szCs w:val="22"/>
        </w:rPr>
      </w:pPr>
      <w:r w:rsidRPr="004D4C57">
        <w:rPr>
          <w:i/>
          <w:iCs/>
          <w:sz w:val="22"/>
          <w:szCs w:val="22"/>
        </w:rPr>
        <w:lastRenderedPageBreak/>
        <w:t>Approved permit program</w:t>
      </w:r>
      <w:r w:rsidRPr="004D4C57">
        <w:rPr>
          <w:sz w:val="22"/>
          <w:szCs w:val="22"/>
        </w:rPr>
        <w:t xml:space="preserve"> means a State permit program approved by the Administrator as meeting the requirements of part 70 of this chapter or a Federal permit program established in this chapter pursuant to title V of the Act (42 U.S.C. 7661). </w:t>
      </w:r>
    </w:p>
    <w:p w:rsidR="003F210F" w:rsidRPr="004D4C57" w:rsidRDefault="003F210F" w:rsidP="004D4C57">
      <w:pPr>
        <w:pStyle w:val="NormalWeb"/>
        <w:rPr>
          <w:sz w:val="22"/>
          <w:szCs w:val="22"/>
        </w:rPr>
      </w:pPr>
      <w:r w:rsidRPr="004D4C57">
        <w:rPr>
          <w:i/>
          <w:iCs/>
          <w:sz w:val="22"/>
          <w:szCs w:val="22"/>
        </w:rPr>
        <w:t>Area source</w:t>
      </w:r>
      <w:r w:rsidRPr="004D4C57">
        <w:rPr>
          <w:sz w:val="22"/>
          <w:szCs w:val="22"/>
        </w:rPr>
        <w:t xml:space="preserve"> means any stationary source of hazardous air pollutants that is not a major source as defined in this part. </w:t>
      </w:r>
    </w:p>
    <w:p w:rsidR="003F210F" w:rsidRPr="004D4C57" w:rsidRDefault="003F210F" w:rsidP="004D4C57">
      <w:pPr>
        <w:pStyle w:val="NormalWeb"/>
        <w:rPr>
          <w:sz w:val="22"/>
          <w:szCs w:val="22"/>
        </w:rPr>
      </w:pPr>
      <w:r w:rsidRPr="004D4C57">
        <w:rPr>
          <w:i/>
          <w:iCs/>
          <w:sz w:val="22"/>
          <w:szCs w:val="22"/>
        </w:rPr>
        <w:t>Commenced</w:t>
      </w:r>
      <w:r w:rsidRPr="004D4C57">
        <w:rPr>
          <w:sz w:val="22"/>
          <w:szCs w:val="22"/>
        </w:rPr>
        <w:t xml:space="preserve"> means, with respect to construction or reconstruction of an affected source, that an owner or operator has undertaken a continuous program of construction or reconstruction or that an owner or operator has </w:t>
      </w:r>
      <w:proofErr w:type="gramStart"/>
      <w:r w:rsidRPr="004D4C57">
        <w:rPr>
          <w:sz w:val="22"/>
          <w:szCs w:val="22"/>
        </w:rPr>
        <w:t>entered into a</w:t>
      </w:r>
      <w:proofErr w:type="gramEnd"/>
      <w:r w:rsidRPr="004D4C57">
        <w:rPr>
          <w:sz w:val="22"/>
          <w:szCs w:val="22"/>
        </w:rPr>
        <w:t xml:space="preserve"> contractual obligation to undertake and complete, within a reasonable time, a continuous program of construction or reconstruction.</w:t>
      </w:r>
    </w:p>
    <w:p w:rsidR="003F210F" w:rsidRPr="004D4C57" w:rsidRDefault="003F210F" w:rsidP="004D4C57">
      <w:pPr>
        <w:pStyle w:val="NormalWeb"/>
        <w:rPr>
          <w:sz w:val="22"/>
          <w:szCs w:val="22"/>
        </w:rPr>
      </w:pPr>
      <w:r w:rsidRPr="004D4C57">
        <w:rPr>
          <w:i/>
          <w:iCs/>
          <w:sz w:val="22"/>
          <w:szCs w:val="22"/>
        </w:rPr>
        <w:t>Compliance date</w:t>
      </w:r>
      <w:r w:rsidRPr="004D4C57">
        <w:rPr>
          <w:sz w:val="22"/>
          <w:szCs w:val="22"/>
        </w:rPr>
        <w:t xml:space="preserve"> means the date by which an affected source is required to </w:t>
      </w:r>
      <w:proofErr w:type="gramStart"/>
      <w:r w:rsidRPr="004D4C57">
        <w:rPr>
          <w:sz w:val="22"/>
          <w:szCs w:val="22"/>
        </w:rPr>
        <w:t>be in compliance with</w:t>
      </w:r>
      <w:proofErr w:type="gramEnd"/>
      <w:r w:rsidRPr="004D4C57">
        <w:rPr>
          <w:sz w:val="22"/>
          <w:szCs w:val="22"/>
        </w:rPr>
        <w:t xml:space="preserve"> a relevant standard, limitation, prohibition, or any federally enforceable requirement established by the Administrator (or a State with an approved permit program) pursuant to section 112 of the Act. </w:t>
      </w:r>
    </w:p>
    <w:p w:rsidR="003F210F" w:rsidRPr="004D4C57" w:rsidRDefault="003F210F" w:rsidP="004D4C57">
      <w:pPr>
        <w:pStyle w:val="NormalWeb"/>
        <w:rPr>
          <w:sz w:val="22"/>
          <w:szCs w:val="22"/>
        </w:rPr>
      </w:pPr>
      <w:r w:rsidRPr="004D4C57">
        <w:rPr>
          <w:i/>
          <w:iCs/>
          <w:sz w:val="22"/>
          <w:szCs w:val="22"/>
        </w:rPr>
        <w:t>Compliance schedule</w:t>
      </w:r>
      <w:r w:rsidRPr="004D4C57">
        <w:rPr>
          <w:sz w:val="22"/>
          <w:szCs w:val="22"/>
        </w:rPr>
        <w:t xml:space="preserve"> means: (1) In the case of an affected source that </w:t>
      </w:r>
      <w:proofErr w:type="gramStart"/>
      <w:r w:rsidRPr="004D4C57">
        <w:rPr>
          <w:sz w:val="22"/>
          <w:szCs w:val="22"/>
        </w:rPr>
        <w:t>is in compliance with</w:t>
      </w:r>
      <w:proofErr w:type="gramEnd"/>
      <w:r w:rsidRPr="004D4C57">
        <w:rPr>
          <w:sz w:val="22"/>
          <w:szCs w:val="22"/>
        </w:rPr>
        <w:t xml:space="preserve"> all applicable requirements established under this part, a statement that the source will continue to comply with such requirements; or </w:t>
      </w:r>
    </w:p>
    <w:p w:rsidR="003F210F" w:rsidRPr="004D4C57" w:rsidRDefault="003F210F" w:rsidP="004D4C57">
      <w:pPr>
        <w:pStyle w:val="NormalWeb"/>
        <w:rPr>
          <w:sz w:val="22"/>
          <w:szCs w:val="22"/>
        </w:rPr>
      </w:pPr>
      <w:r w:rsidRPr="004D4C57">
        <w:rPr>
          <w:sz w:val="22"/>
          <w:szCs w:val="22"/>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3F210F" w:rsidRPr="004D4C57" w:rsidRDefault="003F210F" w:rsidP="004D4C57">
      <w:pPr>
        <w:pStyle w:val="NormalWeb"/>
        <w:rPr>
          <w:sz w:val="22"/>
          <w:szCs w:val="22"/>
        </w:rPr>
      </w:pPr>
      <w:r w:rsidRPr="004D4C57">
        <w:rPr>
          <w:sz w:val="22"/>
          <w:szCs w:val="22"/>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3F210F" w:rsidRPr="004D4C57" w:rsidRDefault="003F210F" w:rsidP="004D4C57">
      <w:pPr>
        <w:pStyle w:val="NormalWeb"/>
        <w:rPr>
          <w:sz w:val="22"/>
          <w:szCs w:val="22"/>
        </w:rPr>
      </w:pPr>
      <w:r w:rsidRPr="004D4C57">
        <w:rPr>
          <w:i/>
          <w:iCs/>
          <w:sz w:val="22"/>
          <w:szCs w:val="22"/>
        </w:rPr>
        <w:t>Construction</w:t>
      </w:r>
      <w:r w:rsidRPr="004D4C57">
        <w:rPr>
          <w:sz w:val="22"/>
          <w:szCs w:val="22"/>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3F210F" w:rsidRPr="004D4C57" w:rsidRDefault="003F210F" w:rsidP="004D4C57">
      <w:pPr>
        <w:pStyle w:val="NormalWeb"/>
        <w:rPr>
          <w:sz w:val="22"/>
          <w:szCs w:val="22"/>
        </w:rPr>
      </w:pPr>
      <w:r w:rsidRPr="004D4C57">
        <w:rPr>
          <w:i/>
          <w:iCs/>
          <w:sz w:val="22"/>
          <w:szCs w:val="22"/>
        </w:rPr>
        <w:t>Continuous emission monitoring system</w:t>
      </w:r>
      <w:r w:rsidRPr="004D4C57">
        <w:rPr>
          <w:sz w:val="22"/>
          <w:szCs w:val="22"/>
        </w:rPr>
        <w:t xml:space="preserve"> (CEMS) means the total equipment that may be required to meet the data acquisition and availability requirements of this part, used to sample, condition (if applicable), analyze, and provide a record of emissions. </w:t>
      </w:r>
    </w:p>
    <w:p w:rsidR="003F210F" w:rsidRPr="004D4C57" w:rsidRDefault="003F210F" w:rsidP="004D4C57">
      <w:pPr>
        <w:pStyle w:val="NormalWeb"/>
        <w:rPr>
          <w:sz w:val="22"/>
          <w:szCs w:val="22"/>
        </w:rPr>
      </w:pPr>
      <w:r w:rsidRPr="004D4C57">
        <w:rPr>
          <w:i/>
          <w:iCs/>
          <w:sz w:val="22"/>
          <w:szCs w:val="22"/>
        </w:rPr>
        <w:t>Continuous monitoring system</w:t>
      </w:r>
      <w:r w:rsidRPr="004D4C57">
        <w:rPr>
          <w:sz w:val="22"/>
          <w:szCs w:val="22"/>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3F210F" w:rsidRPr="004D4C57" w:rsidRDefault="003F210F" w:rsidP="004D4C57">
      <w:pPr>
        <w:pStyle w:val="NormalWeb"/>
        <w:rPr>
          <w:sz w:val="22"/>
          <w:szCs w:val="22"/>
        </w:rPr>
      </w:pPr>
      <w:r w:rsidRPr="004D4C57">
        <w:rPr>
          <w:i/>
          <w:iCs/>
          <w:sz w:val="22"/>
          <w:szCs w:val="22"/>
        </w:rPr>
        <w:lastRenderedPageBreak/>
        <w:t>Continuous opacity monitoring system</w:t>
      </w:r>
      <w:r w:rsidRPr="004D4C57">
        <w:rPr>
          <w:sz w:val="22"/>
          <w:szCs w:val="22"/>
        </w:rPr>
        <w:t xml:space="preserve"> (COMS) means a continuous monitoring system that measures the opacity of emissions. </w:t>
      </w:r>
    </w:p>
    <w:p w:rsidR="003F210F" w:rsidRPr="004D4C57" w:rsidRDefault="003F210F" w:rsidP="004D4C57">
      <w:pPr>
        <w:pStyle w:val="NormalWeb"/>
        <w:rPr>
          <w:sz w:val="22"/>
          <w:szCs w:val="22"/>
        </w:rPr>
      </w:pPr>
      <w:r w:rsidRPr="004D4C57">
        <w:rPr>
          <w:i/>
          <w:iCs/>
          <w:sz w:val="22"/>
          <w:szCs w:val="22"/>
        </w:rPr>
        <w:t>Continuous parameter monitoring system</w:t>
      </w:r>
      <w:r w:rsidRPr="004D4C57">
        <w:rPr>
          <w:sz w:val="22"/>
          <w:szCs w:val="22"/>
        </w:rPr>
        <w:t xml:space="preserve"> means the total equipment that may be required to meet the data acquisition and availability requirements of this part, used to sample, condition (if applicable), analyze, and provide a record of process or control system parameters.</w:t>
      </w:r>
    </w:p>
    <w:p w:rsidR="003F210F" w:rsidRPr="004D4C57" w:rsidRDefault="003F210F" w:rsidP="004D4C57">
      <w:pPr>
        <w:pStyle w:val="NormalWeb"/>
        <w:rPr>
          <w:sz w:val="22"/>
          <w:szCs w:val="22"/>
        </w:rPr>
      </w:pPr>
      <w:r w:rsidRPr="004D4C57">
        <w:rPr>
          <w:i/>
          <w:iCs/>
          <w:sz w:val="22"/>
          <w:szCs w:val="22"/>
        </w:rPr>
        <w:t>Effective date</w:t>
      </w:r>
      <w:r w:rsidRPr="004D4C57">
        <w:rPr>
          <w:sz w:val="22"/>
          <w:szCs w:val="22"/>
        </w:rPr>
        <w:t xml:space="preserve"> means: </w:t>
      </w:r>
    </w:p>
    <w:p w:rsidR="003F210F" w:rsidRPr="004D4C57" w:rsidRDefault="003F210F" w:rsidP="004D4C57">
      <w:pPr>
        <w:pStyle w:val="NormalWeb"/>
        <w:rPr>
          <w:sz w:val="22"/>
          <w:szCs w:val="22"/>
        </w:rPr>
      </w:pPr>
      <w:r w:rsidRPr="004D4C57">
        <w:rPr>
          <w:sz w:val="22"/>
          <w:szCs w:val="22"/>
        </w:rPr>
        <w:t xml:space="preserve">(1) </w:t>
      </w:r>
      <w:proofErr w:type="gramStart"/>
      <w:r w:rsidRPr="004D4C57">
        <w:rPr>
          <w:sz w:val="22"/>
          <w:szCs w:val="22"/>
        </w:rPr>
        <w:t>With regard to</w:t>
      </w:r>
      <w:proofErr w:type="gramEnd"/>
      <w:r w:rsidRPr="004D4C57">
        <w:rPr>
          <w:sz w:val="22"/>
          <w:szCs w:val="22"/>
        </w:rPr>
        <w:t xml:space="preserve"> an emission standard established under this part, the date of promulgation in the </w:t>
      </w:r>
      <w:r w:rsidRPr="004D4C57">
        <w:rPr>
          <w:smallCaps/>
          <w:sz w:val="22"/>
          <w:szCs w:val="22"/>
        </w:rPr>
        <w:t>Federal Register</w:t>
      </w:r>
      <w:r w:rsidRPr="004D4C57">
        <w:rPr>
          <w:sz w:val="22"/>
          <w:szCs w:val="22"/>
        </w:rPr>
        <w:t xml:space="preserve"> of such standard; or </w:t>
      </w:r>
    </w:p>
    <w:p w:rsidR="003F210F" w:rsidRPr="004D4C57" w:rsidRDefault="003F210F" w:rsidP="004D4C57">
      <w:pPr>
        <w:pStyle w:val="NormalWeb"/>
        <w:rPr>
          <w:sz w:val="22"/>
          <w:szCs w:val="22"/>
        </w:rPr>
      </w:pPr>
      <w:r w:rsidRPr="004D4C57">
        <w:rPr>
          <w:sz w:val="22"/>
          <w:szCs w:val="22"/>
        </w:rPr>
        <w:t xml:space="preserve">(2) </w:t>
      </w:r>
      <w:proofErr w:type="gramStart"/>
      <w:r w:rsidRPr="004D4C57">
        <w:rPr>
          <w:sz w:val="22"/>
          <w:szCs w:val="22"/>
        </w:rPr>
        <w:t>With regard to</w:t>
      </w:r>
      <w:proofErr w:type="gramEnd"/>
      <w:r w:rsidRPr="004D4C57">
        <w:rPr>
          <w:sz w:val="22"/>
          <w:szCs w:val="22"/>
        </w:rPr>
        <w:t xml:space="preserve">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3F210F" w:rsidRPr="004D4C57" w:rsidRDefault="003F210F" w:rsidP="004D4C57">
      <w:pPr>
        <w:pStyle w:val="NormalWeb"/>
        <w:rPr>
          <w:sz w:val="22"/>
          <w:szCs w:val="22"/>
        </w:rPr>
      </w:pPr>
      <w:r w:rsidRPr="004D4C57">
        <w:rPr>
          <w:i/>
          <w:iCs/>
          <w:sz w:val="22"/>
          <w:szCs w:val="22"/>
        </w:rPr>
        <w:t>Emission standard</w:t>
      </w:r>
      <w:r w:rsidRPr="004D4C57">
        <w:rPr>
          <w:sz w:val="22"/>
          <w:szCs w:val="22"/>
        </w:rPr>
        <w:t xml:space="preserve"> means a national standard, limitation, prohibition, or other regulation promulgated in a subpart of this part pursuant to sections 112(d), 112(h), or 112(f) of the Act. </w:t>
      </w:r>
    </w:p>
    <w:p w:rsidR="003F210F" w:rsidRPr="004D4C57" w:rsidRDefault="003F210F" w:rsidP="004D4C57">
      <w:pPr>
        <w:pStyle w:val="NormalWeb"/>
        <w:rPr>
          <w:sz w:val="22"/>
          <w:szCs w:val="22"/>
        </w:rPr>
      </w:pPr>
      <w:r w:rsidRPr="004D4C57">
        <w:rPr>
          <w:i/>
          <w:iCs/>
          <w:sz w:val="22"/>
          <w:szCs w:val="22"/>
        </w:rPr>
        <w:t>Emissions averaging</w:t>
      </w:r>
      <w:r w:rsidRPr="004D4C57">
        <w:rPr>
          <w:sz w:val="22"/>
          <w:szCs w:val="22"/>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3F210F" w:rsidRPr="004D4C57" w:rsidRDefault="003F210F" w:rsidP="004D4C57">
      <w:pPr>
        <w:pStyle w:val="NormalWeb"/>
        <w:rPr>
          <w:sz w:val="22"/>
          <w:szCs w:val="22"/>
        </w:rPr>
      </w:pPr>
      <w:r w:rsidRPr="004D4C57">
        <w:rPr>
          <w:i/>
          <w:iCs/>
          <w:sz w:val="22"/>
          <w:szCs w:val="22"/>
        </w:rPr>
        <w:t>EPA</w:t>
      </w:r>
      <w:r w:rsidRPr="004D4C57">
        <w:rPr>
          <w:sz w:val="22"/>
          <w:szCs w:val="22"/>
        </w:rPr>
        <w:t xml:space="preserve"> means the United States Environmental Protection Agency. </w:t>
      </w:r>
    </w:p>
    <w:p w:rsidR="003F210F" w:rsidRPr="004D4C57" w:rsidRDefault="003F210F" w:rsidP="004D4C57">
      <w:pPr>
        <w:pStyle w:val="NormalWeb"/>
        <w:rPr>
          <w:sz w:val="22"/>
          <w:szCs w:val="22"/>
        </w:rPr>
      </w:pPr>
      <w:r w:rsidRPr="004D4C57">
        <w:rPr>
          <w:i/>
          <w:iCs/>
          <w:sz w:val="22"/>
          <w:szCs w:val="22"/>
        </w:rPr>
        <w:t>Equivalent emission limitation</w:t>
      </w:r>
      <w:r w:rsidRPr="004D4C57">
        <w:rPr>
          <w:sz w:val="22"/>
          <w:szCs w:val="22"/>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3F210F" w:rsidRPr="004D4C57" w:rsidRDefault="003F210F" w:rsidP="004D4C57">
      <w:pPr>
        <w:pStyle w:val="NormalWeb"/>
        <w:rPr>
          <w:sz w:val="22"/>
          <w:szCs w:val="22"/>
        </w:rPr>
      </w:pPr>
      <w:r w:rsidRPr="004D4C57">
        <w:rPr>
          <w:i/>
          <w:iCs/>
          <w:sz w:val="22"/>
          <w:szCs w:val="22"/>
        </w:rPr>
        <w:t>Excess emissions and continuous monitoring system performance report</w:t>
      </w:r>
      <w:r w:rsidRPr="004D4C57">
        <w:rPr>
          <w:sz w:val="22"/>
          <w:szCs w:val="22"/>
        </w:rPr>
        <w:t xml:space="preserve"> is a report that must be submitted periodically by an affected source </w:t>
      </w:r>
      <w:proofErr w:type="gramStart"/>
      <w:r w:rsidRPr="004D4C57">
        <w:rPr>
          <w:sz w:val="22"/>
          <w:szCs w:val="22"/>
        </w:rPr>
        <w:t>in order to</w:t>
      </w:r>
      <w:proofErr w:type="gramEnd"/>
      <w:r w:rsidRPr="004D4C57">
        <w:rPr>
          <w:sz w:val="22"/>
          <w:szCs w:val="22"/>
        </w:rPr>
        <w:t xml:space="preserve"> provide data on its compliance with relevant emission limits, operating parameters, and the performance of its continuous parameter monitoring systems. </w:t>
      </w:r>
    </w:p>
    <w:p w:rsidR="003F210F" w:rsidRPr="004D4C57" w:rsidRDefault="003F210F" w:rsidP="004D4C57">
      <w:pPr>
        <w:pStyle w:val="NormalWeb"/>
        <w:rPr>
          <w:sz w:val="22"/>
          <w:szCs w:val="22"/>
        </w:rPr>
      </w:pPr>
      <w:r w:rsidRPr="004D4C57">
        <w:rPr>
          <w:i/>
          <w:iCs/>
          <w:sz w:val="22"/>
          <w:szCs w:val="22"/>
        </w:rPr>
        <w:t>Existing source</w:t>
      </w:r>
      <w:r w:rsidRPr="004D4C57">
        <w:rPr>
          <w:sz w:val="22"/>
          <w:szCs w:val="22"/>
        </w:rPr>
        <w:t xml:space="preserve"> means any affected source that is not a new source. </w:t>
      </w:r>
    </w:p>
    <w:p w:rsidR="003F210F" w:rsidRPr="004D4C57" w:rsidRDefault="003F210F" w:rsidP="004D4C57">
      <w:pPr>
        <w:pStyle w:val="NormalWeb"/>
        <w:rPr>
          <w:sz w:val="22"/>
          <w:szCs w:val="22"/>
        </w:rPr>
      </w:pPr>
      <w:r w:rsidRPr="004D4C57">
        <w:rPr>
          <w:i/>
          <w:iCs/>
          <w:sz w:val="22"/>
          <w:szCs w:val="22"/>
        </w:rPr>
        <w:t>Federally enforceable</w:t>
      </w:r>
      <w:r w:rsidRPr="004D4C57">
        <w:rPr>
          <w:sz w:val="22"/>
          <w:szCs w:val="22"/>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3F210F" w:rsidRPr="004D4C57" w:rsidRDefault="003F210F" w:rsidP="004D4C57">
      <w:pPr>
        <w:pStyle w:val="NormalWeb"/>
        <w:rPr>
          <w:sz w:val="22"/>
          <w:szCs w:val="22"/>
        </w:rPr>
      </w:pPr>
      <w:r w:rsidRPr="004D4C57">
        <w:rPr>
          <w:sz w:val="22"/>
          <w:szCs w:val="22"/>
        </w:rPr>
        <w:t xml:space="preserve">(1) Emission standards, alternative emission standards, alternative emission limitations, and equivalent emission limitations established pursuant to section 112 of the Act as amended in 1990; </w:t>
      </w:r>
    </w:p>
    <w:p w:rsidR="003F210F" w:rsidRPr="004D4C57" w:rsidRDefault="003F210F" w:rsidP="004D4C57">
      <w:pPr>
        <w:pStyle w:val="NormalWeb"/>
        <w:rPr>
          <w:sz w:val="22"/>
          <w:szCs w:val="22"/>
        </w:rPr>
      </w:pPr>
      <w:r w:rsidRPr="004D4C57">
        <w:rPr>
          <w:sz w:val="22"/>
          <w:szCs w:val="22"/>
        </w:rPr>
        <w:t xml:space="preserve">(2) New source performance standards established pursuant to section 111 of the Act, and emission standards established pursuant to section 112 of the Act before it was amended in 1990; </w:t>
      </w:r>
    </w:p>
    <w:p w:rsidR="003F210F" w:rsidRPr="004D4C57" w:rsidRDefault="003F210F" w:rsidP="004D4C57">
      <w:pPr>
        <w:pStyle w:val="NormalWeb"/>
        <w:rPr>
          <w:sz w:val="22"/>
          <w:szCs w:val="22"/>
        </w:rPr>
      </w:pPr>
      <w:r w:rsidRPr="004D4C57">
        <w:rPr>
          <w:sz w:val="22"/>
          <w:szCs w:val="22"/>
        </w:rPr>
        <w:t xml:space="preserve">(3) All terms and conditions in a title V permit, including any provisions that limit a source's potential to emit, unless expressly designated as not federally enforceable; </w:t>
      </w:r>
    </w:p>
    <w:p w:rsidR="003F210F" w:rsidRPr="004D4C57" w:rsidRDefault="003F210F" w:rsidP="004D4C57">
      <w:pPr>
        <w:pStyle w:val="NormalWeb"/>
        <w:rPr>
          <w:sz w:val="22"/>
          <w:szCs w:val="22"/>
        </w:rPr>
      </w:pPr>
      <w:r w:rsidRPr="004D4C57">
        <w:rPr>
          <w:sz w:val="22"/>
          <w:szCs w:val="22"/>
        </w:rPr>
        <w:lastRenderedPageBreak/>
        <w:t xml:space="preserve">(4) Limitations and conditions that are part of an approved State Implementation Plan (SIP) or a Federal Implementation Plan (FIP); </w:t>
      </w:r>
    </w:p>
    <w:p w:rsidR="003F210F" w:rsidRPr="004D4C57" w:rsidRDefault="003F210F" w:rsidP="004D4C57">
      <w:pPr>
        <w:pStyle w:val="NormalWeb"/>
        <w:rPr>
          <w:sz w:val="22"/>
          <w:szCs w:val="22"/>
        </w:rPr>
      </w:pPr>
      <w:r w:rsidRPr="004D4C57">
        <w:rPr>
          <w:sz w:val="22"/>
          <w:szCs w:val="22"/>
        </w:rPr>
        <w:t xml:space="preserve">(5) Limitations and conditions that are part of a Federal construction permit issued under 40 CFR 52.21 or any construction permit issued under regulations approved by the EPA in accordance with 40 CFR part 51; </w:t>
      </w:r>
    </w:p>
    <w:p w:rsidR="003F210F" w:rsidRPr="004D4C57" w:rsidRDefault="003F210F" w:rsidP="004D4C57">
      <w:pPr>
        <w:pStyle w:val="NormalWeb"/>
        <w:rPr>
          <w:sz w:val="22"/>
          <w:szCs w:val="22"/>
        </w:rPr>
      </w:pPr>
      <w:r w:rsidRPr="004D4C57">
        <w:rPr>
          <w:sz w:val="22"/>
          <w:szCs w:val="22"/>
        </w:rPr>
        <w:t xml:space="preserve">(6) Limitations and conditions that are part of an operating permit where the permit and the permitting program pursuant to which it was issued meet </w:t>
      </w:r>
      <w:proofErr w:type="gramStart"/>
      <w:r w:rsidRPr="004D4C57">
        <w:rPr>
          <w:sz w:val="22"/>
          <w:szCs w:val="22"/>
        </w:rPr>
        <w:t>all of</w:t>
      </w:r>
      <w:proofErr w:type="gramEnd"/>
      <w:r w:rsidRPr="004D4C57">
        <w:rPr>
          <w:sz w:val="22"/>
          <w:szCs w:val="22"/>
        </w:rPr>
        <w:t xml:space="preserve"> the following criteria: </w:t>
      </w:r>
    </w:p>
    <w:p w:rsidR="003F210F" w:rsidRPr="004D4C57" w:rsidRDefault="003F210F" w:rsidP="004D4C57">
      <w:pPr>
        <w:pStyle w:val="NormalWeb"/>
        <w:rPr>
          <w:sz w:val="22"/>
          <w:szCs w:val="22"/>
        </w:rPr>
      </w:pPr>
      <w:r w:rsidRPr="004D4C57">
        <w:rPr>
          <w:sz w:val="22"/>
          <w:szCs w:val="22"/>
        </w:rPr>
        <w:t xml:space="preserve">(i) The operating permit program has been submitted to and approved by EPA into a State implementation plan (SIP) under section 110 of the CAA; </w:t>
      </w:r>
    </w:p>
    <w:p w:rsidR="003F210F" w:rsidRPr="004D4C57" w:rsidRDefault="003F210F" w:rsidP="004D4C57">
      <w:pPr>
        <w:pStyle w:val="NormalWeb"/>
        <w:rPr>
          <w:sz w:val="22"/>
          <w:szCs w:val="22"/>
        </w:rPr>
      </w:pPr>
      <w:r w:rsidRPr="004D4C57">
        <w:rPr>
          <w:sz w:val="22"/>
          <w:szCs w:val="22"/>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3F210F" w:rsidRPr="004D4C57" w:rsidRDefault="003F210F" w:rsidP="004D4C57">
      <w:pPr>
        <w:pStyle w:val="NormalWeb"/>
        <w:rPr>
          <w:sz w:val="22"/>
          <w:szCs w:val="22"/>
        </w:rPr>
      </w:pPr>
      <w:r w:rsidRPr="004D4C57">
        <w:rPr>
          <w:sz w:val="22"/>
          <w:szCs w:val="22"/>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3F210F" w:rsidRPr="004D4C57" w:rsidRDefault="003F210F" w:rsidP="004D4C57">
      <w:pPr>
        <w:pStyle w:val="NormalWeb"/>
        <w:rPr>
          <w:sz w:val="22"/>
          <w:szCs w:val="22"/>
        </w:rPr>
      </w:pPr>
      <w:r w:rsidRPr="004D4C57">
        <w:rPr>
          <w:sz w:val="22"/>
          <w:szCs w:val="22"/>
        </w:rPr>
        <w:t>(iv) The limitations, controls, and requirements in the permit in question are permanent, quantifiable, and otherwise enforceable as a practical matter; and</w:t>
      </w:r>
    </w:p>
    <w:p w:rsidR="003F210F" w:rsidRPr="004D4C57" w:rsidRDefault="003F210F" w:rsidP="004D4C57">
      <w:pPr>
        <w:pStyle w:val="NormalWeb"/>
        <w:rPr>
          <w:sz w:val="22"/>
          <w:szCs w:val="22"/>
        </w:rPr>
      </w:pPr>
      <w:r w:rsidRPr="004D4C57">
        <w:rPr>
          <w:sz w:val="22"/>
          <w:szCs w:val="22"/>
        </w:rPr>
        <w:t>(v) The permit in question was issued only after adequate and timely notice and opportunity for comment for EPA and the public.</w:t>
      </w:r>
    </w:p>
    <w:p w:rsidR="003F210F" w:rsidRPr="004D4C57" w:rsidRDefault="003F210F" w:rsidP="004D4C57">
      <w:pPr>
        <w:pStyle w:val="NormalWeb"/>
        <w:rPr>
          <w:sz w:val="22"/>
          <w:szCs w:val="22"/>
        </w:rPr>
      </w:pPr>
      <w:r w:rsidRPr="004D4C57">
        <w:rPr>
          <w:sz w:val="22"/>
          <w:szCs w:val="22"/>
        </w:rPr>
        <w:t xml:space="preserve">(7) Limitations and conditions in a State rule or program that has been approved by the EPA under subpart E of this part for the purposes of implementing and enforcing section 112; and </w:t>
      </w:r>
    </w:p>
    <w:p w:rsidR="003F210F" w:rsidRPr="004D4C57" w:rsidRDefault="003F210F" w:rsidP="004D4C57">
      <w:pPr>
        <w:pStyle w:val="NormalWeb"/>
        <w:rPr>
          <w:sz w:val="22"/>
          <w:szCs w:val="22"/>
        </w:rPr>
      </w:pPr>
      <w:r w:rsidRPr="004D4C57">
        <w:rPr>
          <w:sz w:val="22"/>
          <w:szCs w:val="22"/>
        </w:rPr>
        <w:t xml:space="preserve">(8) Individual consent agreements that the EPA has legal authority to create. </w:t>
      </w:r>
    </w:p>
    <w:p w:rsidR="003F210F" w:rsidRPr="004D4C57" w:rsidRDefault="003F210F" w:rsidP="004D4C57">
      <w:pPr>
        <w:pStyle w:val="NormalWeb"/>
        <w:rPr>
          <w:sz w:val="22"/>
          <w:szCs w:val="22"/>
        </w:rPr>
      </w:pPr>
      <w:r w:rsidRPr="004D4C57">
        <w:rPr>
          <w:i/>
          <w:iCs/>
          <w:sz w:val="22"/>
          <w:szCs w:val="22"/>
        </w:rPr>
        <w:t>Fixed capital cost</w:t>
      </w:r>
      <w:r w:rsidRPr="004D4C57">
        <w:rPr>
          <w:sz w:val="22"/>
          <w:szCs w:val="22"/>
        </w:rPr>
        <w:t xml:space="preserve"> means the capital needed to provide all the depreciable components of an existing source. </w:t>
      </w:r>
    </w:p>
    <w:p w:rsidR="003F210F" w:rsidRPr="004D4C57" w:rsidRDefault="003F210F" w:rsidP="004D4C57">
      <w:pPr>
        <w:pStyle w:val="NormalWeb"/>
        <w:rPr>
          <w:sz w:val="22"/>
          <w:szCs w:val="22"/>
        </w:rPr>
      </w:pPr>
      <w:r w:rsidRPr="004D4C57">
        <w:rPr>
          <w:i/>
          <w:iCs/>
          <w:sz w:val="22"/>
          <w:szCs w:val="22"/>
        </w:rPr>
        <w:t>Force majeure</w:t>
      </w:r>
      <w:r w:rsidRPr="004D4C57">
        <w:rPr>
          <w:sz w:val="22"/>
          <w:szCs w:val="22"/>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3F210F" w:rsidRPr="004D4C57" w:rsidRDefault="003F210F" w:rsidP="004D4C57">
      <w:pPr>
        <w:pStyle w:val="NormalWeb"/>
        <w:rPr>
          <w:sz w:val="22"/>
          <w:szCs w:val="22"/>
        </w:rPr>
      </w:pPr>
      <w:r w:rsidRPr="004D4C57">
        <w:rPr>
          <w:i/>
          <w:iCs/>
          <w:sz w:val="22"/>
          <w:szCs w:val="22"/>
        </w:rPr>
        <w:t>Fugitive emissions</w:t>
      </w:r>
      <w:r w:rsidRPr="004D4C57">
        <w:rPr>
          <w:sz w:val="22"/>
          <w:szCs w:val="22"/>
        </w:rPr>
        <w:t xml:space="preserve"> </w:t>
      </w:r>
      <w:proofErr w:type="gramStart"/>
      <w:r w:rsidRPr="004D4C57">
        <w:rPr>
          <w:sz w:val="22"/>
          <w:szCs w:val="22"/>
        </w:rPr>
        <w:t>means</w:t>
      </w:r>
      <w:proofErr w:type="gramEnd"/>
      <w:r w:rsidRPr="004D4C57">
        <w:rPr>
          <w:sz w:val="22"/>
          <w:szCs w:val="22"/>
        </w:rPr>
        <w:t xml:space="preserve">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3F210F" w:rsidRPr="004D4C57" w:rsidRDefault="003F210F" w:rsidP="004D4C57">
      <w:pPr>
        <w:pStyle w:val="NormalWeb"/>
        <w:rPr>
          <w:sz w:val="22"/>
          <w:szCs w:val="22"/>
        </w:rPr>
      </w:pPr>
      <w:r w:rsidRPr="004D4C57">
        <w:rPr>
          <w:i/>
          <w:iCs/>
          <w:sz w:val="22"/>
          <w:szCs w:val="22"/>
        </w:rPr>
        <w:t>Hazardous air pollutant</w:t>
      </w:r>
      <w:r w:rsidRPr="004D4C57">
        <w:rPr>
          <w:sz w:val="22"/>
          <w:szCs w:val="22"/>
        </w:rPr>
        <w:t xml:space="preserve"> means any air pollutant listed in or pursuant to section 112(b) of the Act. </w:t>
      </w:r>
    </w:p>
    <w:p w:rsidR="003F210F" w:rsidRPr="004D4C57" w:rsidRDefault="003F210F" w:rsidP="004D4C57">
      <w:pPr>
        <w:pStyle w:val="NormalWeb"/>
        <w:rPr>
          <w:sz w:val="22"/>
          <w:szCs w:val="22"/>
        </w:rPr>
      </w:pPr>
      <w:r w:rsidRPr="004D4C57">
        <w:rPr>
          <w:i/>
          <w:iCs/>
          <w:sz w:val="22"/>
          <w:szCs w:val="22"/>
        </w:rPr>
        <w:lastRenderedPageBreak/>
        <w:t>Issuance</w:t>
      </w:r>
      <w:r w:rsidRPr="004D4C57">
        <w:rPr>
          <w:sz w:val="22"/>
          <w:szCs w:val="22"/>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3F210F" w:rsidRPr="004D4C57" w:rsidRDefault="003F210F" w:rsidP="004D4C57">
      <w:pPr>
        <w:pStyle w:val="NormalWeb"/>
        <w:rPr>
          <w:sz w:val="22"/>
          <w:szCs w:val="22"/>
        </w:rPr>
      </w:pPr>
      <w:r w:rsidRPr="004D4C57">
        <w:rPr>
          <w:i/>
          <w:iCs/>
          <w:sz w:val="22"/>
          <w:szCs w:val="22"/>
        </w:rPr>
        <w:t>Major source</w:t>
      </w:r>
      <w:r w:rsidRPr="004D4C57">
        <w:rPr>
          <w:sz w:val="22"/>
          <w:szCs w:val="22"/>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3F210F" w:rsidRPr="004D4C57" w:rsidRDefault="003F210F" w:rsidP="004D4C57">
      <w:pPr>
        <w:pStyle w:val="NormalWeb"/>
        <w:rPr>
          <w:sz w:val="22"/>
          <w:szCs w:val="22"/>
        </w:rPr>
      </w:pPr>
      <w:r w:rsidRPr="004D4C57">
        <w:rPr>
          <w:i/>
          <w:iCs/>
          <w:sz w:val="22"/>
          <w:szCs w:val="22"/>
        </w:rPr>
        <w:t>Malfunction</w:t>
      </w:r>
      <w:r w:rsidRPr="004D4C57">
        <w:rPr>
          <w:sz w:val="22"/>
          <w:szCs w:val="22"/>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3F210F" w:rsidRPr="004D4C57" w:rsidRDefault="003F210F" w:rsidP="004D4C57">
      <w:pPr>
        <w:pStyle w:val="NormalWeb"/>
        <w:rPr>
          <w:sz w:val="22"/>
          <w:szCs w:val="22"/>
        </w:rPr>
      </w:pPr>
      <w:r w:rsidRPr="004D4C57">
        <w:rPr>
          <w:i/>
          <w:iCs/>
          <w:sz w:val="22"/>
          <w:szCs w:val="22"/>
        </w:rPr>
        <w:t>Monitoring</w:t>
      </w:r>
      <w:r w:rsidRPr="004D4C57">
        <w:rPr>
          <w:sz w:val="22"/>
          <w:szCs w:val="22"/>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3F210F" w:rsidRPr="004D4C57" w:rsidRDefault="003F210F" w:rsidP="004D4C57">
      <w:pPr>
        <w:pStyle w:val="NormalWeb"/>
        <w:rPr>
          <w:sz w:val="22"/>
          <w:szCs w:val="22"/>
        </w:rPr>
      </w:pPr>
      <w:r w:rsidRPr="004D4C57">
        <w:rPr>
          <w:sz w:val="22"/>
          <w:szCs w:val="22"/>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w:t>
      </w:r>
      <w:proofErr w:type="gramStart"/>
      <w:r w:rsidRPr="004D4C57">
        <w:rPr>
          <w:sz w:val="22"/>
          <w:szCs w:val="22"/>
        </w:rPr>
        <w:t>particular operational</w:t>
      </w:r>
      <w:proofErr w:type="gramEnd"/>
      <w:r w:rsidRPr="004D4C57">
        <w:rPr>
          <w:sz w:val="22"/>
          <w:szCs w:val="22"/>
        </w:rPr>
        <w:t xml:space="preserve"> or work practice status (for example, a damper position, completion of a waste recovery task, materials tracking), or an interdependency between two or among more than two variables. </w:t>
      </w:r>
    </w:p>
    <w:p w:rsidR="003F210F" w:rsidRPr="004D4C57" w:rsidRDefault="003F210F" w:rsidP="004D4C57">
      <w:pPr>
        <w:pStyle w:val="NormalWeb"/>
        <w:rPr>
          <w:sz w:val="22"/>
          <w:szCs w:val="22"/>
        </w:rPr>
      </w:pPr>
      <w:r w:rsidRPr="004D4C57">
        <w:rPr>
          <w:sz w:val="22"/>
          <w:szCs w:val="22"/>
        </w:rPr>
        <w:t>(2) Measurement techniques—</w:t>
      </w:r>
      <w:proofErr w:type="gramStart"/>
      <w:r w:rsidRPr="004D4C57">
        <w:rPr>
          <w:sz w:val="22"/>
          <w:szCs w:val="22"/>
        </w:rPr>
        <w:t>the means by which</w:t>
      </w:r>
      <w:proofErr w:type="gramEnd"/>
      <w:r w:rsidRPr="004D4C57">
        <w:rPr>
          <w:sz w:val="22"/>
          <w:szCs w:val="22"/>
        </w:rPr>
        <w:t xml:space="preserve">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3F210F" w:rsidRPr="004D4C57" w:rsidRDefault="003F210F" w:rsidP="004D4C57">
      <w:pPr>
        <w:pStyle w:val="NormalWeb"/>
        <w:rPr>
          <w:sz w:val="22"/>
          <w:szCs w:val="22"/>
        </w:rPr>
      </w:pPr>
      <w:r w:rsidRPr="004D4C57">
        <w:rPr>
          <w:sz w:val="22"/>
          <w:szCs w:val="22"/>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3F210F" w:rsidRPr="004D4C57" w:rsidRDefault="003F210F" w:rsidP="004D4C57">
      <w:pPr>
        <w:pStyle w:val="NormalWeb"/>
        <w:rPr>
          <w:sz w:val="22"/>
          <w:szCs w:val="22"/>
        </w:rPr>
      </w:pPr>
      <w:r w:rsidRPr="004D4C57">
        <w:rPr>
          <w:sz w:val="22"/>
          <w:szCs w:val="22"/>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3F210F" w:rsidRPr="004D4C57" w:rsidRDefault="003F210F" w:rsidP="004D4C57">
      <w:pPr>
        <w:pStyle w:val="NormalWeb"/>
        <w:rPr>
          <w:sz w:val="22"/>
          <w:szCs w:val="22"/>
        </w:rPr>
      </w:pPr>
      <w:r w:rsidRPr="004D4C57">
        <w:rPr>
          <w:i/>
          <w:iCs/>
          <w:sz w:val="22"/>
          <w:szCs w:val="22"/>
        </w:rPr>
        <w:lastRenderedPageBreak/>
        <w:t>New affected source</w:t>
      </w:r>
      <w:r w:rsidRPr="004D4C57">
        <w:rPr>
          <w:sz w:val="22"/>
          <w:szCs w:val="22"/>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3F210F" w:rsidRPr="004D4C57" w:rsidRDefault="003F210F" w:rsidP="004D4C57">
      <w:pPr>
        <w:pStyle w:val="NormalWeb"/>
        <w:rPr>
          <w:sz w:val="22"/>
          <w:szCs w:val="22"/>
        </w:rPr>
      </w:pPr>
      <w:r w:rsidRPr="004D4C57">
        <w:rPr>
          <w:sz w:val="22"/>
          <w:szCs w:val="22"/>
        </w:rPr>
        <w:t xml:space="preserve">(1) Emission reduction impacts of controlling individual sources versus groups of sources; </w:t>
      </w:r>
    </w:p>
    <w:p w:rsidR="003F210F" w:rsidRPr="004D4C57" w:rsidRDefault="003F210F" w:rsidP="004D4C57">
      <w:pPr>
        <w:pStyle w:val="NormalWeb"/>
        <w:rPr>
          <w:sz w:val="22"/>
          <w:szCs w:val="22"/>
        </w:rPr>
      </w:pPr>
      <w:r w:rsidRPr="004D4C57">
        <w:rPr>
          <w:sz w:val="22"/>
          <w:szCs w:val="22"/>
        </w:rPr>
        <w:t xml:space="preserve">(2) Cost effectiveness of controlling individual equipment; </w:t>
      </w:r>
    </w:p>
    <w:p w:rsidR="003F210F" w:rsidRPr="004D4C57" w:rsidRDefault="003F210F" w:rsidP="004D4C57">
      <w:pPr>
        <w:pStyle w:val="NormalWeb"/>
        <w:rPr>
          <w:sz w:val="22"/>
          <w:szCs w:val="22"/>
        </w:rPr>
      </w:pPr>
      <w:r w:rsidRPr="004D4C57">
        <w:rPr>
          <w:sz w:val="22"/>
          <w:szCs w:val="22"/>
        </w:rPr>
        <w:t xml:space="preserve">(3) Flexibility to accommodate common control strategies; </w:t>
      </w:r>
    </w:p>
    <w:p w:rsidR="003F210F" w:rsidRPr="004D4C57" w:rsidRDefault="003F210F" w:rsidP="004D4C57">
      <w:pPr>
        <w:pStyle w:val="NormalWeb"/>
        <w:rPr>
          <w:sz w:val="22"/>
          <w:szCs w:val="22"/>
        </w:rPr>
      </w:pPr>
      <w:r w:rsidRPr="004D4C57">
        <w:rPr>
          <w:sz w:val="22"/>
          <w:szCs w:val="22"/>
        </w:rPr>
        <w:t xml:space="preserve">(4) Cost/benefits of emissions averaging; </w:t>
      </w:r>
    </w:p>
    <w:p w:rsidR="003F210F" w:rsidRPr="004D4C57" w:rsidRDefault="003F210F" w:rsidP="004D4C57">
      <w:pPr>
        <w:pStyle w:val="NormalWeb"/>
        <w:rPr>
          <w:sz w:val="22"/>
          <w:szCs w:val="22"/>
        </w:rPr>
      </w:pPr>
      <w:r w:rsidRPr="004D4C57">
        <w:rPr>
          <w:sz w:val="22"/>
          <w:szCs w:val="22"/>
        </w:rPr>
        <w:t xml:space="preserve">(5) Incentives for pollution prevention; </w:t>
      </w:r>
    </w:p>
    <w:p w:rsidR="003F210F" w:rsidRPr="004D4C57" w:rsidRDefault="003F210F" w:rsidP="004D4C57">
      <w:pPr>
        <w:pStyle w:val="NormalWeb"/>
        <w:rPr>
          <w:sz w:val="22"/>
          <w:szCs w:val="22"/>
        </w:rPr>
      </w:pPr>
      <w:r w:rsidRPr="004D4C57">
        <w:rPr>
          <w:sz w:val="22"/>
          <w:szCs w:val="22"/>
        </w:rPr>
        <w:t xml:space="preserve">(6) Feasibility and cost of controlling processes that share common equipment (e.g., product recovery devices); </w:t>
      </w:r>
    </w:p>
    <w:p w:rsidR="003F210F" w:rsidRPr="004D4C57" w:rsidRDefault="003F210F" w:rsidP="004D4C57">
      <w:pPr>
        <w:pStyle w:val="NormalWeb"/>
        <w:rPr>
          <w:sz w:val="22"/>
          <w:szCs w:val="22"/>
        </w:rPr>
      </w:pPr>
      <w:r w:rsidRPr="004D4C57">
        <w:rPr>
          <w:sz w:val="22"/>
          <w:szCs w:val="22"/>
        </w:rPr>
        <w:t xml:space="preserve">(7) Feasibility and cost of monitoring; and </w:t>
      </w:r>
    </w:p>
    <w:p w:rsidR="003F210F" w:rsidRPr="004D4C57" w:rsidRDefault="003F210F" w:rsidP="004D4C57">
      <w:pPr>
        <w:pStyle w:val="NormalWeb"/>
        <w:rPr>
          <w:sz w:val="22"/>
          <w:szCs w:val="22"/>
        </w:rPr>
      </w:pPr>
      <w:r w:rsidRPr="004D4C57">
        <w:rPr>
          <w:sz w:val="22"/>
          <w:szCs w:val="22"/>
        </w:rPr>
        <w:t xml:space="preserve">(8) Other relevant factors. </w:t>
      </w:r>
    </w:p>
    <w:p w:rsidR="003F210F" w:rsidRPr="004D4C57" w:rsidRDefault="003F210F" w:rsidP="004D4C57">
      <w:pPr>
        <w:pStyle w:val="NormalWeb"/>
        <w:rPr>
          <w:sz w:val="22"/>
          <w:szCs w:val="22"/>
        </w:rPr>
      </w:pPr>
      <w:r w:rsidRPr="004D4C57">
        <w:rPr>
          <w:i/>
          <w:iCs/>
          <w:sz w:val="22"/>
          <w:szCs w:val="22"/>
        </w:rPr>
        <w:t>New source</w:t>
      </w:r>
      <w:r w:rsidRPr="004D4C57">
        <w:rPr>
          <w:sz w:val="22"/>
          <w:szCs w:val="22"/>
        </w:rPr>
        <w:t xml:space="preserve"> means any affected source the construction or reconstruction of which is commenced after the Administrator first proposes a relevant emission standard under this part establishing an emission standard applicable to such source.</w:t>
      </w:r>
    </w:p>
    <w:p w:rsidR="003F210F" w:rsidRPr="004D4C57" w:rsidRDefault="003F210F" w:rsidP="004D4C57">
      <w:pPr>
        <w:pStyle w:val="NormalWeb"/>
        <w:rPr>
          <w:sz w:val="22"/>
          <w:szCs w:val="22"/>
        </w:rPr>
      </w:pPr>
      <w:r w:rsidRPr="004D4C57">
        <w:rPr>
          <w:i/>
          <w:iCs/>
          <w:sz w:val="22"/>
          <w:szCs w:val="22"/>
        </w:rPr>
        <w:t>One-hour period,</w:t>
      </w:r>
      <w:r w:rsidRPr="004D4C57">
        <w:rPr>
          <w:sz w:val="22"/>
          <w:szCs w:val="22"/>
        </w:rPr>
        <w:t xml:space="preserve"> unless otherwise defined in an applicable subpart, means any 60-minute period commencing on the hour.</w:t>
      </w:r>
    </w:p>
    <w:p w:rsidR="003F210F" w:rsidRPr="004D4C57" w:rsidRDefault="003F210F" w:rsidP="004D4C57">
      <w:pPr>
        <w:pStyle w:val="NormalWeb"/>
        <w:rPr>
          <w:sz w:val="22"/>
          <w:szCs w:val="22"/>
        </w:rPr>
      </w:pPr>
      <w:r w:rsidRPr="004D4C57">
        <w:rPr>
          <w:i/>
          <w:iCs/>
          <w:sz w:val="22"/>
          <w:szCs w:val="22"/>
        </w:rPr>
        <w:t>Opacity</w:t>
      </w:r>
      <w:r w:rsidRPr="004D4C57">
        <w:rPr>
          <w:sz w:val="22"/>
          <w:szCs w:val="22"/>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3F210F" w:rsidRPr="004D4C57" w:rsidRDefault="003F210F" w:rsidP="004D4C57">
      <w:pPr>
        <w:pStyle w:val="NormalWeb"/>
        <w:rPr>
          <w:sz w:val="22"/>
          <w:szCs w:val="22"/>
        </w:rPr>
      </w:pPr>
      <w:r w:rsidRPr="004D4C57">
        <w:rPr>
          <w:i/>
          <w:iCs/>
          <w:sz w:val="22"/>
          <w:szCs w:val="22"/>
        </w:rPr>
        <w:t>Owner or operator</w:t>
      </w:r>
      <w:r w:rsidRPr="004D4C57">
        <w:rPr>
          <w:sz w:val="22"/>
          <w:szCs w:val="22"/>
        </w:rPr>
        <w:t xml:space="preserve"> means any person who owns, leases, operates, controls, or supervises a stationary source.</w:t>
      </w:r>
    </w:p>
    <w:p w:rsidR="003F210F" w:rsidRPr="004D4C57" w:rsidRDefault="003F210F" w:rsidP="004D4C57">
      <w:pPr>
        <w:pStyle w:val="NormalWeb"/>
        <w:rPr>
          <w:sz w:val="22"/>
          <w:szCs w:val="22"/>
        </w:rPr>
      </w:pPr>
      <w:r w:rsidRPr="004D4C57">
        <w:rPr>
          <w:i/>
          <w:iCs/>
          <w:sz w:val="22"/>
          <w:szCs w:val="22"/>
        </w:rPr>
        <w:t>Performance audit</w:t>
      </w:r>
      <w:r w:rsidRPr="004D4C57">
        <w:rPr>
          <w:sz w:val="22"/>
          <w:szCs w:val="22"/>
        </w:rPr>
        <w:t xml:space="preserve"> means a procedure to analyze blind samples, the content of which is known by the Administrator, simultaneously with the analysis of performance test samples </w:t>
      </w:r>
      <w:proofErr w:type="gramStart"/>
      <w:r w:rsidRPr="004D4C57">
        <w:rPr>
          <w:sz w:val="22"/>
          <w:szCs w:val="22"/>
        </w:rPr>
        <w:t>in order to</w:t>
      </w:r>
      <w:proofErr w:type="gramEnd"/>
      <w:r w:rsidRPr="004D4C57">
        <w:rPr>
          <w:sz w:val="22"/>
          <w:szCs w:val="22"/>
        </w:rPr>
        <w:t xml:space="preserve"> provide a measure of test data quality.</w:t>
      </w:r>
    </w:p>
    <w:p w:rsidR="003F210F" w:rsidRPr="004D4C57" w:rsidRDefault="003F210F" w:rsidP="004D4C57">
      <w:pPr>
        <w:pStyle w:val="NormalWeb"/>
        <w:rPr>
          <w:sz w:val="22"/>
          <w:szCs w:val="22"/>
        </w:rPr>
      </w:pPr>
      <w:r w:rsidRPr="004D4C57">
        <w:rPr>
          <w:i/>
          <w:iCs/>
          <w:sz w:val="22"/>
          <w:szCs w:val="22"/>
        </w:rPr>
        <w:t>Performance evaluation</w:t>
      </w:r>
      <w:r w:rsidRPr="004D4C57">
        <w:rPr>
          <w:sz w:val="22"/>
          <w:szCs w:val="22"/>
        </w:rPr>
        <w:t xml:space="preserve"> means the conduct of relative accuracy testing, calibration error testing, and other measurements used in validating the continuous monitoring system data.</w:t>
      </w:r>
    </w:p>
    <w:p w:rsidR="003F210F" w:rsidRPr="004D4C57" w:rsidRDefault="003F210F" w:rsidP="004D4C57">
      <w:pPr>
        <w:pStyle w:val="NormalWeb"/>
        <w:rPr>
          <w:sz w:val="22"/>
          <w:szCs w:val="22"/>
        </w:rPr>
      </w:pPr>
      <w:r w:rsidRPr="004D4C57">
        <w:rPr>
          <w:i/>
          <w:iCs/>
          <w:sz w:val="22"/>
          <w:szCs w:val="22"/>
        </w:rPr>
        <w:t>Performance test</w:t>
      </w:r>
      <w:r w:rsidRPr="004D4C57">
        <w:rPr>
          <w:sz w:val="22"/>
          <w:szCs w:val="22"/>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3F210F" w:rsidRPr="004D4C57" w:rsidRDefault="003F210F" w:rsidP="004D4C57">
      <w:pPr>
        <w:pStyle w:val="NormalWeb"/>
        <w:rPr>
          <w:sz w:val="22"/>
          <w:szCs w:val="22"/>
        </w:rPr>
      </w:pPr>
      <w:r w:rsidRPr="004D4C57">
        <w:rPr>
          <w:i/>
          <w:iCs/>
          <w:sz w:val="22"/>
          <w:szCs w:val="22"/>
        </w:rPr>
        <w:lastRenderedPageBreak/>
        <w:t>Permit modification</w:t>
      </w:r>
      <w:r w:rsidRPr="004D4C57">
        <w:rPr>
          <w:sz w:val="22"/>
          <w:szCs w:val="22"/>
        </w:rPr>
        <w:t xml:space="preserve"> means a change to a title V permit as defined in regulations codified in this chapter to implement title V of the Act (42 U.S.C. 7661).</w:t>
      </w:r>
    </w:p>
    <w:p w:rsidR="003F210F" w:rsidRPr="004D4C57" w:rsidRDefault="003F210F" w:rsidP="004D4C57">
      <w:pPr>
        <w:pStyle w:val="NormalWeb"/>
        <w:rPr>
          <w:sz w:val="22"/>
          <w:szCs w:val="22"/>
        </w:rPr>
      </w:pPr>
      <w:r w:rsidRPr="004D4C57">
        <w:rPr>
          <w:i/>
          <w:iCs/>
          <w:sz w:val="22"/>
          <w:szCs w:val="22"/>
        </w:rPr>
        <w:t>Permit program</w:t>
      </w:r>
      <w:r w:rsidRPr="004D4C57">
        <w:rPr>
          <w:sz w:val="22"/>
          <w:szCs w:val="22"/>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3F210F" w:rsidRPr="004D4C57" w:rsidRDefault="003F210F" w:rsidP="004D4C57">
      <w:pPr>
        <w:pStyle w:val="NormalWeb"/>
        <w:rPr>
          <w:sz w:val="22"/>
          <w:szCs w:val="22"/>
        </w:rPr>
      </w:pPr>
      <w:r w:rsidRPr="004D4C57">
        <w:rPr>
          <w:i/>
          <w:iCs/>
          <w:sz w:val="22"/>
          <w:szCs w:val="22"/>
        </w:rPr>
        <w:t>Permit revision</w:t>
      </w:r>
      <w:r w:rsidRPr="004D4C57">
        <w:rPr>
          <w:sz w:val="22"/>
          <w:szCs w:val="22"/>
        </w:rPr>
        <w:t xml:space="preserve"> means any permit modification or administrative permit amendment to a title V permit as defined in regulations codified in this chapter to implement title V of the Act (42 U.S.C. 7661).</w:t>
      </w:r>
    </w:p>
    <w:p w:rsidR="003F210F" w:rsidRPr="004D4C57" w:rsidRDefault="003F210F" w:rsidP="004D4C57">
      <w:pPr>
        <w:pStyle w:val="NormalWeb"/>
        <w:rPr>
          <w:sz w:val="22"/>
          <w:szCs w:val="22"/>
        </w:rPr>
      </w:pPr>
      <w:r w:rsidRPr="004D4C57">
        <w:rPr>
          <w:i/>
          <w:iCs/>
          <w:sz w:val="22"/>
          <w:szCs w:val="22"/>
        </w:rPr>
        <w:t>Permitting authority</w:t>
      </w:r>
      <w:r w:rsidRPr="004D4C57">
        <w:rPr>
          <w:sz w:val="22"/>
          <w:szCs w:val="22"/>
        </w:rPr>
        <w:t xml:space="preserve"> means: (1) The State air pollution control agency, local agency, other State agency, or other agency authorized by the Administrator to carry out a permit program under part 70 of this chapter; or</w:t>
      </w:r>
    </w:p>
    <w:p w:rsidR="003F210F" w:rsidRPr="004D4C57" w:rsidRDefault="003F210F" w:rsidP="004D4C57">
      <w:pPr>
        <w:pStyle w:val="NormalWeb"/>
        <w:rPr>
          <w:sz w:val="22"/>
          <w:szCs w:val="22"/>
        </w:rPr>
      </w:pPr>
      <w:r w:rsidRPr="004D4C57">
        <w:rPr>
          <w:sz w:val="22"/>
          <w:szCs w:val="22"/>
        </w:rPr>
        <w:t>(2) The Administrator, in the case of EPA-implemented permit programs under title V of the Act (42 U.S.C. 7661).</w:t>
      </w:r>
    </w:p>
    <w:p w:rsidR="003F210F" w:rsidRPr="004D4C57" w:rsidRDefault="003F210F" w:rsidP="004D4C57">
      <w:pPr>
        <w:pStyle w:val="NormalWeb"/>
        <w:rPr>
          <w:sz w:val="22"/>
          <w:szCs w:val="22"/>
        </w:rPr>
      </w:pPr>
      <w:r w:rsidRPr="004D4C57">
        <w:rPr>
          <w:i/>
          <w:iCs/>
          <w:sz w:val="22"/>
          <w:szCs w:val="22"/>
        </w:rPr>
        <w:t>Pollution Prevention</w:t>
      </w:r>
      <w:r w:rsidRPr="004D4C57">
        <w:rPr>
          <w:sz w:val="22"/>
          <w:szCs w:val="22"/>
        </w:rPr>
        <w:t xml:space="preserve"> means </w:t>
      </w:r>
      <w:r w:rsidRPr="004D4C57">
        <w:rPr>
          <w:i/>
          <w:iCs/>
          <w:sz w:val="22"/>
          <w:szCs w:val="22"/>
        </w:rPr>
        <w:t>source reduction</w:t>
      </w:r>
      <w:r w:rsidRPr="004D4C57">
        <w:rPr>
          <w:sz w:val="22"/>
          <w:szCs w:val="22"/>
        </w:rPr>
        <w:t xml:space="preserve"> as defined under the Pollution Prevention Act (42 U.S.C. 13101-13109). The definition is as follows:</w:t>
      </w:r>
    </w:p>
    <w:p w:rsidR="003F210F" w:rsidRPr="004D4C57" w:rsidRDefault="003F210F" w:rsidP="004D4C57">
      <w:pPr>
        <w:pStyle w:val="NormalWeb"/>
        <w:rPr>
          <w:sz w:val="22"/>
          <w:szCs w:val="22"/>
        </w:rPr>
      </w:pPr>
      <w:r w:rsidRPr="004D4C57">
        <w:rPr>
          <w:sz w:val="22"/>
          <w:szCs w:val="22"/>
        </w:rPr>
        <w:t xml:space="preserve">(1) </w:t>
      </w:r>
      <w:r w:rsidRPr="004D4C57">
        <w:rPr>
          <w:i/>
          <w:iCs/>
          <w:sz w:val="22"/>
          <w:szCs w:val="22"/>
        </w:rPr>
        <w:t>Source reduction</w:t>
      </w:r>
      <w:r w:rsidRPr="004D4C57">
        <w:rPr>
          <w:sz w:val="22"/>
          <w:szCs w:val="22"/>
        </w:rPr>
        <w:t xml:space="preserve"> is any practice that:</w:t>
      </w:r>
    </w:p>
    <w:p w:rsidR="003F210F" w:rsidRPr="004D4C57" w:rsidRDefault="003F210F" w:rsidP="004D4C57">
      <w:pPr>
        <w:pStyle w:val="NormalWeb"/>
        <w:rPr>
          <w:sz w:val="22"/>
          <w:szCs w:val="22"/>
        </w:rPr>
      </w:pPr>
      <w:r w:rsidRPr="004D4C57">
        <w:rPr>
          <w:sz w:val="22"/>
          <w:szCs w:val="22"/>
        </w:rPr>
        <w:t xml:space="preserve">(i) Reduces the amount of any hazardous substance, pollutant, or contaminant entering any waste stream or otherwise released into the environment (including fugitive emissions) prior to recycling, treatment, or disposal; and </w:t>
      </w:r>
    </w:p>
    <w:p w:rsidR="003F210F" w:rsidRPr="004D4C57" w:rsidRDefault="003F210F" w:rsidP="004D4C57">
      <w:pPr>
        <w:pStyle w:val="NormalWeb"/>
        <w:rPr>
          <w:sz w:val="22"/>
          <w:szCs w:val="22"/>
        </w:rPr>
      </w:pPr>
      <w:r w:rsidRPr="004D4C57">
        <w:rPr>
          <w:sz w:val="22"/>
          <w:szCs w:val="22"/>
        </w:rPr>
        <w:t>(ii) Reduces the hazards to public health and the environment associated with the release of such substances, pollutants, or contaminants.</w:t>
      </w:r>
    </w:p>
    <w:p w:rsidR="003F210F" w:rsidRPr="004D4C57" w:rsidRDefault="003F210F" w:rsidP="004D4C57">
      <w:pPr>
        <w:pStyle w:val="NormalWeb"/>
        <w:rPr>
          <w:sz w:val="22"/>
          <w:szCs w:val="22"/>
        </w:rPr>
      </w:pPr>
      <w:r w:rsidRPr="004D4C57">
        <w:rPr>
          <w:sz w:val="22"/>
          <w:szCs w:val="22"/>
        </w:rPr>
        <w:t xml:space="preserve">(2) The term </w:t>
      </w:r>
      <w:r w:rsidRPr="004D4C57">
        <w:rPr>
          <w:i/>
          <w:iCs/>
          <w:sz w:val="22"/>
          <w:szCs w:val="22"/>
        </w:rPr>
        <w:t>source reduction</w:t>
      </w:r>
      <w:r w:rsidRPr="004D4C57">
        <w:rPr>
          <w:sz w:val="22"/>
          <w:szCs w:val="22"/>
        </w:rPr>
        <w:t xml:space="preserve"> includes equipment or technology modifications, process or procedure modifications, reformulation or redesign of products, substitution of raw materials, and improvements in housekeeping, maintenance, training, or inventory control.</w:t>
      </w:r>
    </w:p>
    <w:p w:rsidR="003F210F" w:rsidRPr="004D4C57" w:rsidRDefault="003F210F" w:rsidP="004D4C57">
      <w:pPr>
        <w:pStyle w:val="NormalWeb"/>
        <w:rPr>
          <w:sz w:val="22"/>
          <w:szCs w:val="22"/>
        </w:rPr>
      </w:pPr>
      <w:r w:rsidRPr="004D4C57">
        <w:rPr>
          <w:sz w:val="22"/>
          <w:szCs w:val="22"/>
        </w:rPr>
        <w:t xml:space="preserve">(3) The term </w:t>
      </w:r>
      <w:r w:rsidRPr="004D4C57">
        <w:rPr>
          <w:i/>
          <w:iCs/>
          <w:sz w:val="22"/>
          <w:szCs w:val="22"/>
        </w:rPr>
        <w:t>source reduction</w:t>
      </w:r>
      <w:r w:rsidRPr="004D4C57">
        <w:rPr>
          <w:sz w:val="22"/>
          <w:szCs w:val="22"/>
        </w:rPr>
        <w:t xml:space="preserve"> does not include any practice that alters the physical, chemical, or biological characteristics or the volume of a hazardous substance, pollutant, or contaminant through a process or activity which itself is not integral to and necessary </w:t>
      </w:r>
      <w:proofErr w:type="gramStart"/>
      <w:r w:rsidRPr="004D4C57">
        <w:rPr>
          <w:sz w:val="22"/>
          <w:szCs w:val="22"/>
        </w:rPr>
        <w:t>for the production of</w:t>
      </w:r>
      <w:proofErr w:type="gramEnd"/>
      <w:r w:rsidRPr="004D4C57">
        <w:rPr>
          <w:sz w:val="22"/>
          <w:szCs w:val="22"/>
        </w:rPr>
        <w:t xml:space="preserve"> a product or the providing of a service.</w:t>
      </w:r>
    </w:p>
    <w:p w:rsidR="003F210F" w:rsidRPr="004D4C57" w:rsidRDefault="003F210F" w:rsidP="004D4C57">
      <w:pPr>
        <w:pStyle w:val="NormalWeb"/>
        <w:rPr>
          <w:sz w:val="22"/>
          <w:szCs w:val="22"/>
        </w:rPr>
      </w:pPr>
      <w:r w:rsidRPr="004D4C57">
        <w:rPr>
          <w:i/>
          <w:iCs/>
          <w:sz w:val="22"/>
          <w:szCs w:val="22"/>
        </w:rPr>
        <w:t>Potential to emit</w:t>
      </w:r>
      <w:r w:rsidRPr="004D4C57">
        <w:rPr>
          <w:sz w:val="22"/>
          <w:szCs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3F210F" w:rsidRPr="004D4C57" w:rsidRDefault="003F210F" w:rsidP="004D4C57">
      <w:pPr>
        <w:pStyle w:val="NormalWeb"/>
        <w:rPr>
          <w:sz w:val="22"/>
          <w:szCs w:val="22"/>
        </w:rPr>
      </w:pPr>
      <w:r w:rsidRPr="004D4C57">
        <w:rPr>
          <w:i/>
          <w:iCs/>
          <w:sz w:val="22"/>
          <w:szCs w:val="22"/>
        </w:rPr>
        <w:t>Reconstruction,</w:t>
      </w:r>
      <w:r w:rsidRPr="004D4C57">
        <w:rPr>
          <w:sz w:val="22"/>
          <w:szCs w:val="22"/>
        </w:rPr>
        <w:t xml:space="preserve"> unless otherwise defined in a relevant standard, means the replacement of components of an affected or a previously nonaffected source to such an extent that:</w:t>
      </w:r>
    </w:p>
    <w:p w:rsidR="003F210F" w:rsidRPr="004D4C57" w:rsidRDefault="003F210F" w:rsidP="004D4C57">
      <w:pPr>
        <w:pStyle w:val="NormalWeb"/>
        <w:rPr>
          <w:sz w:val="22"/>
          <w:szCs w:val="22"/>
        </w:rPr>
      </w:pPr>
      <w:r w:rsidRPr="004D4C57">
        <w:rPr>
          <w:sz w:val="22"/>
          <w:szCs w:val="22"/>
        </w:rPr>
        <w:t>(1) The fixed capital cost of the new components exceeds 50 percent of the fixed capital cost that would be required to construct a comparable new source; and</w:t>
      </w:r>
    </w:p>
    <w:p w:rsidR="003F210F" w:rsidRPr="004D4C57" w:rsidRDefault="003F210F" w:rsidP="004D4C57">
      <w:pPr>
        <w:pStyle w:val="NormalWeb"/>
        <w:rPr>
          <w:sz w:val="22"/>
          <w:szCs w:val="22"/>
        </w:rPr>
      </w:pPr>
      <w:r w:rsidRPr="004D4C57">
        <w:rPr>
          <w:sz w:val="22"/>
          <w:szCs w:val="22"/>
        </w:rPr>
        <w:lastRenderedPageBreak/>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3F210F" w:rsidRPr="004D4C57" w:rsidRDefault="003F210F" w:rsidP="004D4C57">
      <w:pPr>
        <w:pStyle w:val="NormalWeb"/>
        <w:rPr>
          <w:sz w:val="22"/>
          <w:szCs w:val="22"/>
        </w:rPr>
      </w:pPr>
      <w:r w:rsidRPr="004D4C57">
        <w:rPr>
          <w:i/>
          <w:iCs/>
          <w:sz w:val="22"/>
          <w:szCs w:val="22"/>
        </w:rPr>
        <w:t>Regulation promulgation schedule</w:t>
      </w:r>
      <w:r w:rsidRPr="004D4C57">
        <w:rPr>
          <w:sz w:val="22"/>
          <w:szCs w:val="22"/>
        </w:rPr>
        <w:t xml:space="preserve"> means the schedule for the promulgation of emission standards under this part, established by the Administrator pursuant to section 112(e) of the Act and published in the </w:t>
      </w:r>
      <w:r w:rsidRPr="004D4C57">
        <w:rPr>
          <w:smallCaps/>
          <w:sz w:val="22"/>
          <w:szCs w:val="22"/>
        </w:rPr>
        <w:t>Federal Register.</w:t>
      </w:r>
    </w:p>
    <w:p w:rsidR="003F210F" w:rsidRPr="004D4C57" w:rsidRDefault="003F210F" w:rsidP="004D4C57">
      <w:pPr>
        <w:pStyle w:val="NormalWeb"/>
        <w:rPr>
          <w:sz w:val="22"/>
          <w:szCs w:val="22"/>
        </w:rPr>
      </w:pPr>
      <w:r w:rsidRPr="004D4C57">
        <w:rPr>
          <w:i/>
          <w:iCs/>
          <w:sz w:val="22"/>
          <w:szCs w:val="22"/>
        </w:rPr>
        <w:t>Relevant standard</w:t>
      </w:r>
      <w:r w:rsidRPr="004D4C57">
        <w:rPr>
          <w:sz w:val="22"/>
          <w:szCs w:val="22"/>
        </w:rPr>
        <w:t xml:space="preserve"> means:</w:t>
      </w:r>
    </w:p>
    <w:p w:rsidR="003F210F" w:rsidRPr="004D4C57" w:rsidRDefault="003F210F" w:rsidP="004D4C57">
      <w:pPr>
        <w:pStyle w:val="NormalWeb"/>
        <w:rPr>
          <w:sz w:val="22"/>
          <w:szCs w:val="22"/>
        </w:rPr>
      </w:pPr>
      <w:r w:rsidRPr="004D4C57">
        <w:rPr>
          <w:sz w:val="22"/>
          <w:szCs w:val="22"/>
        </w:rPr>
        <w:t>(1) An emission standard;</w:t>
      </w:r>
    </w:p>
    <w:p w:rsidR="003F210F" w:rsidRPr="004D4C57" w:rsidRDefault="003F210F" w:rsidP="004D4C57">
      <w:pPr>
        <w:pStyle w:val="NormalWeb"/>
        <w:rPr>
          <w:sz w:val="22"/>
          <w:szCs w:val="22"/>
        </w:rPr>
      </w:pPr>
      <w:r w:rsidRPr="004D4C57">
        <w:rPr>
          <w:sz w:val="22"/>
          <w:szCs w:val="22"/>
        </w:rPr>
        <w:t>(2) An alternative emission standard;</w:t>
      </w:r>
    </w:p>
    <w:p w:rsidR="003F210F" w:rsidRPr="004D4C57" w:rsidRDefault="003F210F" w:rsidP="004D4C57">
      <w:pPr>
        <w:pStyle w:val="NormalWeb"/>
        <w:rPr>
          <w:sz w:val="22"/>
          <w:szCs w:val="22"/>
        </w:rPr>
      </w:pPr>
      <w:r w:rsidRPr="004D4C57">
        <w:rPr>
          <w:sz w:val="22"/>
          <w:szCs w:val="22"/>
        </w:rPr>
        <w:t>(3) An alternative emission limitation; or</w:t>
      </w:r>
    </w:p>
    <w:p w:rsidR="003F210F" w:rsidRPr="004D4C57" w:rsidRDefault="003F210F" w:rsidP="004D4C57">
      <w:pPr>
        <w:pStyle w:val="NormalWeb"/>
        <w:rPr>
          <w:sz w:val="22"/>
          <w:szCs w:val="22"/>
        </w:rPr>
      </w:pPr>
      <w:r w:rsidRPr="004D4C57">
        <w:rPr>
          <w:sz w:val="22"/>
          <w:szCs w:val="22"/>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3F210F" w:rsidRPr="004D4C57" w:rsidRDefault="003F210F" w:rsidP="004D4C57">
      <w:pPr>
        <w:pStyle w:val="NormalWeb"/>
        <w:rPr>
          <w:sz w:val="22"/>
          <w:szCs w:val="22"/>
        </w:rPr>
      </w:pPr>
      <w:r w:rsidRPr="004D4C57">
        <w:rPr>
          <w:i/>
          <w:iCs/>
          <w:sz w:val="22"/>
          <w:szCs w:val="22"/>
        </w:rPr>
        <w:t>Responsible official</w:t>
      </w:r>
      <w:r w:rsidRPr="004D4C57">
        <w:rPr>
          <w:sz w:val="22"/>
          <w:szCs w:val="22"/>
        </w:rPr>
        <w:t xml:space="preserve"> means one of the following:</w:t>
      </w:r>
    </w:p>
    <w:p w:rsidR="003F210F" w:rsidRPr="004D4C57" w:rsidRDefault="003F210F" w:rsidP="004D4C57">
      <w:pPr>
        <w:pStyle w:val="NormalWeb"/>
        <w:rPr>
          <w:sz w:val="22"/>
          <w:szCs w:val="22"/>
        </w:rPr>
      </w:pPr>
      <w:r w:rsidRPr="004D4C57">
        <w:rPr>
          <w:sz w:val="22"/>
          <w:szCs w:val="22"/>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3F210F" w:rsidRPr="004D4C57" w:rsidRDefault="003F210F" w:rsidP="004D4C57">
      <w:pPr>
        <w:pStyle w:val="NormalWeb"/>
        <w:rPr>
          <w:sz w:val="22"/>
          <w:szCs w:val="22"/>
        </w:rPr>
      </w:pPr>
      <w:r w:rsidRPr="004D4C57">
        <w:rPr>
          <w:sz w:val="22"/>
          <w:szCs w:val="22"/>
        </w:rPr>
        <w:t>(i) The facilities employ more than 250 persons or have gross annual sales or expenditures exceeding $25 million (in second quarter 1980 dollars); or</w:t>
      </w:r>
    </w:p>
    <w:p w:rsidR="003F210F" w:rsidRPr="004D4C57" w:rsidRDefault="003F210F" w:rsidP="004D4C57">
      <w:pPr>
        <w:pStyle w:val="NormalWeb"/>
        <w:rPr>
          <w:sz w:val="22"/>
          <w:szCs w:val="22"/>
        </w:rPr>
      </w:pPr>
      <w:r w:rsidRPr="004D4C57">
        <w:rPr>
          <w:sz w:val="22"/>
          <w:szCs w:val="22"/>
        </w:rPr>
        <w:t>(ii) The delegation of authority to such representative is approved in advance by the Administrator.</w:t>
      </w:r>
    </w:p>
    <w:p w:rsidR="003F210F" w:rsidRPr="004D4C57" w:rsidRDefault="003F210F" w:rsidP="004D4C57">
      <w:pPr>
        <w:pStyle w:val="NormalWeb"/>
        <w:rPr>
          <w:sz w:val="22"/>
          <w:szCs w:val="22"/>
        </w:rPr>
      </w:pPr>
      <w:r w:rsidRPr="004D4C57">
        <w:rPr>
          <w:sz w:val="22"/>
          <w:szCs w:val="22"/>
        </w:rPr>
        <w:t>(2) For a partnership or sole proprietorship: a general partner or the proprietor, respectively.</w:t>
      </w:r>
    </w:p>
    <w:p w:rsidR="003F210F" w:rsidRPr="004D4C57" w:rsidRDefault="003F210F" w:rsidP="004D4C57">
      <w:pPr>
        <w:pStyle w:val="NormalWeb"/>
        <w:rPr>
          <w:sz w:val="22"/>
          <w:szCs w:val="22"/>
        </w:rPr>
      </w:pPr>
      <w:r w:rsidRPr="004D4C57">
        <w:rPr>
          <w:sz w:val="22"/>
          <w:szCs w:val="22"/>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3F210F" w:rsidRPr="004D4C57" w:rsidRDefault="003F210F" w:rsidP="004D4C57">
      <w:pPr>
        <w:pStyle w:val="NormalWeb"/>
        <w:rPr>
          <w:sz w:val="22"/>
          <w:szCs w:val="22"/>
        </w:rPr>
      </w:pPr>
      <w:r w:rsidRPr="004D4C57">
        <w:rPr>
          <w:sz w:val="22"/>
          <w:szCs w:val="22"/>
        </w:rPr>
        <w:t xml:space="preserve">(4) For affected sources (as defined in this part) applying for or subject to a title V permit: “responsible official” shall have the same meaning as defined in part 70 or Federal </w:t>
      </w:r>
      <w:proofErr w:type="gramStart"/>
      <w:r w:rsidRPr="004D4C57">
        <w:rPr>
          <w:sz w:val="22"/>
          <w:szCs w:val="22"/>
        </w:rPr>
        <w:t>title</w:t>
      </w:r>
      <w:proofErr w:type="gramEnd"/>
      <w:r w:rsidRPr="004D4C57">
        <w:rPr>
          <w:sz w:val="22"/>
          <w:szCs w:val="22"/>
        </w:rPr>
        <w:t xml:space="preserve"> V regulations in this chapter (42 U.S.C. 7661), whichever is applicable.</w:t>
      </w:r>
    </w:p>
    <w:p w:rsidR="003F210F" w:rsidRPr="004D4C57" w:rsidRDefault="003F210F" w:rsidP="004D4C57">
      <w:pPr>
        <w:pStyle w:val="NormalWeb"/>
        <w:rPr>
          <w:sz w:val="22"/>
          <w:szCs w:val="22"/>
        </w:rPr>
      </w:pPr>
      <w:r w:rsidRPr="004D4C57">
        <w:rPr>
          <w:i/>
          <w:iCs/>
          <w:sz w:val="22"/>
          <w:szCs w:val="22"/>
        </w:rPr>
        <w:lastRenderedPageBreak/>
        <w:t>Run</w:t>
      </w:r>
      <w:r w:rsidRPr="004D4C57">
        <w:rPr>
          <w:sz w:val="22"/>
          <w:szCs w:val="22"/>
        </w:rPr>
        <w:t xml:space="preserve"> means one of a series of emission or other measurements needed to determine emissions for a representative operating period or cycle as specified in this part.</w:t>
      </w:r>
    </w:p>
    <w:p w:rsidR="003F210F" w:rsidRPr="004D4C57" w:rsidRDefault="003F210F" w:rsidP="004D4C57">
      <w:pPr>
        <w:pStyle w:val="NormalWeb"/>
        <w:rPr>
          <w:sz w:val="22"/>
          <w:szCs w:val="22"/>
        </w:rPr>
      </w:pPr>
      <w:r w:rsidRPr="004D4C57">
        <w:rPr>
          <w:i/>
          <w:iCs/>
          <w:sz w:val="22"/>
          <w:szCs w:val="22"/>
        </w:rPr>
        <w:t>Shutdown</w:t>
      </w:r>
      <w:r w:rsidRPr="004D4C57">
        <w:rPr>
          <w:sz w:val="22"/>
          <w:szCs w:val="22"/>
        </w:rPr>
        <w:t xml:space="preserve"> means the cessation of operation of an affected source or portion of an affected source for any purpose. </w:t>
      </w:r>
    </w:p>
    <w:p w:rsidR="003F210F" w:rsidRPr="004D4C57" w:rsidRDefault="003F210F" w:rsidP="004D4C57">
      <w:pPr>
        <w:pStyle w:val="NormalWeb"/>
        <w:rPr>
          <w:sz w:val="22"/>
          <w:szCs w:val="22"/>
        </w:rPr>
      </w:pPr>
      <w:r w:rsidRPr="004D4C57">
        <w:rPr>
          <w:i/>
          <w:iCs/>
          <w:sz w:val="22"/>
          <w:szCs w:val="22"/>
        </w:rPr>
        <w:t>Six-minute period</w:t>
      </w:r>
      <w:r w:rsidRPr="004D4C57">
        <w:rPr>
          <w:sz w:val="22"/>
          <w:szCs w:val="22"/>
        </w:rPr>
        <w:t xml:space="preserve"> means, with respect to opacity determinations, any one of the 10 equal parts of a 1-hour period.</w:t>
      </w:r>
    </w:p>
    <w:p w:rsidR="003F210F" w:rsidRPr="004D4C57" w:rsidRDefault="003F210F" w:rsidP="004D4C57">
      <w:pPr>
        <w:pStyle w:val="NormalWeb"/>
        <w:rPr>
          <w:sz w:val="22"/>
          <w:szCs w:val="22"/>
        </w:rPr>
      </w:pPr>
      <w:r w:rsidRPr="004D4C57">
        <w:rPr>
          <w:i/>
          <w:iCs/>
          <w:sz w:val="22"/>
          <w:szCs w:val="22"/>
        </w:rPr>
        <w:t>Source at a Performance Track member facility</w:t>
      </w:r>
      <w:r w:rsidRPr="004D4C57">
        <w:rPr>
          <w:sz w:val="22"/>
          <w:szCs w:val="22"/>
        </w:rPr>
        <w:t xml:space="preserve"> means a major or area source located at a facility which has been accepted by EPA for membership in the Performance Track Program (as described at </w:t>
      </w:r>
      <w:r w:rsidRPr="004D4C57">
        <w:rPr>
          <w:i/>
          <w:iCs/>
          <w:sz w:val="22"/>
          <w:szCs w:val="22"/>
        </w:rPr>
        <w:t>www.epa.gov/PerformanceTrack</w:t>
      </w:r>
      <w:r w:rsidRPr="004D4C57">
        <w:rPr>
          <w:sz w:val="22"/>
          <w:szCs w:val="22"/>
        </w:rPr>
        <w:t xml:space="preserve">) and is still a member of the Program. The Performance Track Program is a voluntary program that encourages continuous environmental improvement </w:t>
      </w:r>
      <w:proofErr w:type="gramStart"/>
      <w:r w:rsidRPr="004D4C57">
        <w:rPr>
          <w:sz w:val="22"/>
          <w:szCs w:val="22"/>
        </w:rPr>
        <w:t>through the use of</w:t>
      </w:r>
      <w:proofErr w:type="gramEnd"/>
      <w:r w:rsidRPr="004D4C57">
        <w:rPr>
          <w:sz w:val="22"/>
          <w:szCs w:val="22"/>
        </w:rPr>
        <w:t xml:space="preserve"> environmental management systems, local community outreach, and measurable results.</w:t>
      </w:r>
    </w:p>
    <w:p w:rsidR="003F210F" w:rsidRPr="004D4C57" w:rsidRDefault="003F210F" w:rsidP="004D4C57">
      <w:pPr>
        <w:pStyle w:val="NormalWeb"/>
        <w:rPr>
          <w:sz w:val="22"/>
          <w:szCs w:val="22"/>
        </w:rPr>
      </w:pPr>
      <w:r w:rsidRPr="004D4C57">
        <w:rPr>
          <w:i/>
          <w:iCs/>
          <w:sz w:val="22"/>
          <w:szCs w:val="22"/>
        </w:rPr>
        <w:t>Standard conditions</w:t>
      </w:r>
      <w:r w:rsidRPr="004D4C57">
        <w:rPr>
          <w:sz w:val="22"/>
          <w:szCs w:val="22"/>
        </w:rPr>
        <w:t xml:space="preserve"> </w:t>
      </w:r>
      <w:proofErr w:type="gramStart"/>
      <w:r w:rsidRPr="004D4C57">
        <w:rPr>
          <w:sz w:val="22"/>
          <w:szCs w:val="22"/>
        </w:rPr>
        <w:t>means</w:t>
      </w:r>
      <w:proofErr w:type="gramEnd"/>
      <w:r w:rsidRPr="004D4C57">
        <w:rPr>
          <w:sz w:val="22"/>
          <w:szCs w:val="22"/>
        </w:rPr>
        <w:t xml:space="preserve"> a temperature of 293 K (68 °F) and a pressure of 101.3 kilopascals (29.92 in. Hg).</w:t>
      </w:r>
    </w:p>
    <w:p w:rsidR="003F210F" w:rsidRPr="004D4C57" w:rsidRDefault="003F210F" w:rsidP="004D4C57">
      <w:pPr>
        <w:pStyle w:val="NormalWeb"/>
        <w:rPr>
          <w:sz w:val="22"/>
          <w:szCs w:val="22"/>
        </w:rPr>
      </w:pPr>
      <w:r w:rsidRPr="004D4C57">
        <w:rPr>
          <w:i/>
          <w:iCs/>
          <w:sz w:val="22"/>
          <w:szCs w:val="22"/>
        </w:rPr>
        <w:t>Startup</w:t>
      </w:r>
      <w:r w:rsidRPr="004D4C57">
        <w:rPr>
          <w:sz w:val="22"/>
          <w:szCs w:val="22"/>
        </w:rPr>
        <w:t xml:space="preserve"> means the setting in operation of an affected source or portion of an affected source for any purpose. </w:t>
      </w:r>
    </w:p>
    <w:p w:rsidR="003F210F" w:rsidRPr="004D4C57" w:rsidRDefault="003F210F" w:rsidP="004D4C57">
      <w:pPr>
        <w:pStyle w:val="NormalWeb"/>
        <w:rPr>
          <w:sz w:val="22"/>
          <w:szCs w:val="22"/>
        </w:rPr>
      </w:pPr>
      <w:r w:rsidRPr="004D4C57">
        <w:rPr>
          <w:i/>
          <w:iCs/>
          <w:sz w:val="22"/>
          <w:szCs w:val="22"/>
        </w:rPr>
        <w:t>State</w:t>
      </w:r>
      <w:r w:rsidRPr="004D4C57">
        <w:rPr>
          <w:sz w:val="22"/>
          <w:szCs w:val="22"/>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3F210F" w:rsidRPr="004D4C57" w:rsidRDefault="003F210F" w:rsidP="004D4C57">
      <w:pPr>
        <w:pStyle w:val="NormalWeb"/>
        <w:rPr>
          <w:sz w:val="22"/>
          <w:szCs w:val="22"/>
        </w:rPr>
      </w:pPr>
      <w:r w:rsidRPr="004D4C57">
        <w:rPr>
          <w:i/>
          <w:iCs/>
          <w:sz w:val="22"/>
          <w:szCs w:val="22"/>
        </w:rPr>
        <w:t>Stationary source</w:t>
      </w:r>
      <w:r w:rsidRPr="004D4C57">
        <w:rPr>
          <w:sz w:val="22"/>
          <w:szCs w:val="22"/>
        </w:rPr>
        <w:t xml:space="preserve"> means any building, structure, facility, or installation which emits or may emit any air pollutant.</w:t>
      </w:r>
    </w:p>
    <w:p w:rsidR="003F210F" w:rsidRPr="004D4C57" w:rsidRDefault="003F210F" w:rsidP="004D4C57">
      <w:pPr>
        <w:pStyle w:val="NormalWeb"/>
        <w:rPr>
          <w:sz w:val="22"/>
          <w:szCs w:val="22"/>
        </w:rPr>
      </w:pPr>
      <w:r w:rsidRPr="004D4C57">
        <w:rPr>
          <w:i/>
          <w:iCs/>
          <w:sz w:val="22"/>
          <w:szCs w:val="22"/>
        </w:rPr>
        <w:t>Test method</w:t>
      </w:r>
      <w:r w:rsidRPr="004D4C57">
        <w:rPr>
          <w:sz w:val="22"/>
          <w:szCs w:val="22"/>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3F210F" w:rsidRPr="004D4C57" w:rsidRDefault="003F210F" w:rsidP="004D4C57">
      <w:pPr>
        <w:pStyle w:val="NormalWeb"/>
        <w:rPr>
          <w:sz w:val="22"/>
          <w:szCs w:val="22"/>
        </w:rPr>
      </w:pPr>
      <w:r w:rsidRPr="004D4C57">
        <w:rPr>
          <w:i/>
          <w:iCs/>
          <w:sz w:val="22"/>
          <w:szCs w:val="22"/>
        </w:rPr>
        <w:t>Title V permit</w:t>
      </w:r>
      <w:r w:rsidRPr="004D4C57">
        <w:rPr>
          <w:sz w:val="22"/>
          <w:szCs w:val="22"/>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3F210F" w:rsidRPr="004D4C57" w:rsidRDefault="003F210F" w:rsidP="004D4C57">
      <w:pPr>
        <w:pStyle w:val="NormalWeb"/>
        <w:rPr>
          <w:sz w:val="22"/>
          <w:szCs w:val="22"/>
        </w:rPr>
      </w:pPr>
      <w:r w:rsidRPr="004D4C57">
        <w:rPr>
          <w:i/>
          <w:iCs/>
          <w:sz w:val="22"/>
          <w:szCs w:val="22"/>
        </w:rPr>
        <w:t>Visible emission</w:t>
      </w:r>
      <w:r w:rsidRPr="004D4C57">
        <w:rPr>
          <w:sz w:val="22"/>
          <w:szCs w:val="22"/>
        </w:rPr>
        <w:t xml:space="preserve"> means the observation of an emission of opacity or optical density above the threshold of vision.</w:t>
      </w:r>
    </w:p>
    <w:p w:rsidR="003F210F" w:rsidRPr="004D4C57" w:rsidRDefault="003F210F" w:rsidP="004D4C57">
      <w:pPr>
        <w:pStyle w:val="NormalWeb"/>
        <w:rPr>
          <w:sz w:val="22"/>
          <w:szCs w:val="22"/>
        </w:rPr>
      </w:pPr>
      <w:r w:rsidRPr="004D4C57">
        <w:rPr>
          <w:i/>
          <w:iCs/>
          <w:sz w:val="22"/>
          <w:szCs w:val="22"/>
        </w:rPr>
        <w:t>Working day</w:t>
      </w:r>
      <w:r w:rsidRPr="004D4C57">
        <w:rPr>
          <w:sz w:val="22"/>
          <w:szCs w:val="22"/>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3F210F" w:rsidRPr="004D4C57" w:rsidRDefault="003F210F" w:rsidP="004D4C57">
      <w:pPr>
        <w:pStyle w:val="cita"/>
        <w:rPr>
          <w:sz w:val="22"/>
          <w:szCs w:val="22"/>
        </w:rPr>
      </w:pPr>
      <w:r w:rsidRPr="004D4C57">
        <w:rPr>
          <w:sz w:val="22"/>
          <w:szCs w:val="22"/>
        </w:rPr>
        <w:t>[59 FR 12430, Mar. 16, 1994, as amended at 67 FR 16596, Apr. 5, 2002; 68 FR 32600, May 30, 2003; 69 FR 21752, Apr. 22, 2004; 72 FR 27443, May 16, 2007]</w:t>
      </w:r>
    </w:p>
    <w:p w:rsidR="003F210F" w:rsidRPr="004D4C57" w:rsidRDefault="003F210F" w:rsidP="004D4C57">
      <w:pPr>
        <w:pStyle w:val="Heading2"/>
        <w:rPr>
          <w:rFonts w:ascii="Times New Roman" w:hAnsi="Times New Roman" w:cs="Times New Roman"/>
          <w:sz w:val="22"/>
          <w:szCs w:val="22"/>
        </w:rPr>
      </w:pPr>
      <w:bookmarkStart w:id="9" w:name="se40.11.63_13"/>
      <w:bookmarkEnd w:id="9"/>
      <w:r w:rsidRPr="004D4C57">
        <w:rPr>
          <w:rFonts w:ascii="Times New Roman" w:hAnsi="Times New Roman" w:cs="Times New Roman"/>
          <w:sz w:val="22"/>
          <w:szCs w:val="22"/>
        </w:rPr>
        <w:lastRenderedPageBreak/>
        <w:t>§63.3   Units and abbreviations.</w:t>
      </w:r>
    </w:p>
    <w:p w:rsidR="003F210F" w:rsidRPr="004D4C57" w:rsidRDefault="003F210F" w:rsidP="004D4C57">
      <w:pPr>
        <w:pStyle w:val="NormalWeb"/>
        <w:rPr>
          <w:sz w:val="22"/>
          <w:szCs w:val="22"/>
        </w:rPr>
      </w:pPr>
      <w:r w:rsidRPr="004D4C57">
        <w:rPr>
          <w:sz w:val="22"/>
          <w:szCs w:val="22"/>
        </w:rPr>
        <w:t>Used in this part are abbreviations and symbols of units of measure. These are defined as follows:</w:t>
      </w:r>
    </w:p>
    <w:p w:rsidR="003F210F" w:rsidRPr="004D4C57" w:rsidRDefault="003F210F" w:rsidP="004D4C57">
      <w:pPr>
        <w:pStyle w:val="NormalWeb"/>
        <w:rPr>
          <w:sz w:val="22"/>
          <w:szCs w:val="22"/>
        </w:rPr>
      </w:pPr>
      <w:r w:rsidRPr="004D4C57">
        <w:rPr>
          <w:sz w:val="22"/>
          <w:szCs w:val="22"/>
        </w:rPr>
        <w:t xml:space="preserve">(a) </w:t>
      </w:r>
      <w:r w:rsidRPr="004D4C57">
        <w:rPr>
          <w:i/>
          <w:iCs/>
          <w:sz w:val="22"/>
          <w:szCs w:val="22"/>
        </w:rPr>
        <w:t>System International (SI) units of measure:</w:t>
      </w:r>
    </w:p>
    <w:p w:rsidR="003F210F" w:rsidRPr="004D4C57" w:rsidRDefault="003F210F" w:rsidP="004D4C57">
      <w:pPr>
        <w:pStyle w:val="fp-1"/>
        <w:rPr>
          <w:sz w:val="22"/>
          <w:szCs w:val="22"/>
        </w:rPr>
      </w:pPr>
      <w:r w:rsidRPr="004D4C57">
        <w:rPr>
          <w:sz w:val="22"/>
          <w:szCs w:val="22"/>
        </w:rPr>
        <w:t>A = ampere</w:t>
      </w:r>
    </w:p>
    <w:p w:rsidR="003F210F" w:rsidRPr="004D4C57" w:rsidRDefault="003F210F" w:rsidP="004D4C57">
      <w:pPr>
        <w:pStyle w:val="fp-1"/>
        <w:rPr>
          <w:sz w:val="22"/>
          <w:szCs w:val="22"/>
        </w:rPr>
      </w:pPr>
      <w:r w:rsidRPr="004D4C57">
        <w:rPr>
          <w:sz w:val="22"/>
          <w:szCs w:val="22"/>
        </w:rPr>
        <w:t>g = gram</w:t>
      </w:r>
    </w:p>
    <w:p w:rsidR="003F210F" w:rsidRPr="004D4C57" w:rsidRDefault="003F210F" w:rsidP="004D4C57">
      <w:pPr>
        <w:pStyle w:val="fp-1"/>
        <w:rPr>
          <w:sz w:val="22"/>
          <w:szCs w:val="22"/>
        </w:rPr>
      </w:pPr>
      <w:r w:rsidRPr="004D4C57">
        <w:rPr>
          <w:sz w:val="22"/>
          <w:szCs w:val="22"/>
        </w:rPr>
        <w:t>Hz = hertz</w:t>
      </w:r>
    </w:p>
    <w:p w:rsidR="003F210F" w:rsidRPr="004D4C57" w:rsidRDefault="003F210F" w:rsidP="004D4C57">
      <w:pPr>
        <w:pStyle w:val="fp-1"/>
        <w:rPr>
          <w:sz w:val="22"/>
          <w:szCs w:val="22"/>
        </w:rPr>
      </w:pPr>
      <w:r w:rsidRPr="004D4C57">
        <w:rPr>
          <w:sz w:val="22"/>
          <w:szCs w:val="22"/>
        </w:rPr>
        <w:t>J = joule</w:t>
      </w:r>
    </w:p>
    <w:p w:rsidR="003F210F" w:rsidRPr="004D4C57" w:rsidRDefault="003F210F" w:rsidP="004D4C57">
      <w:pPr>
        <w:pStyle w:val="fp-1"/>
        <w:rPr>
          <w:sz w:val="22"/>
          <w:szCs w:val="22"/>
        </w:rPr>
      </w:pPr>
      <w:r w:rsidRPr="004D4C57">
        <w:rPr>
          <w:sz w:val="22"/>
          <w:szCs w:val="22"/>
        </w:rPr>
        <w:t>°K = degree Kelvin</w:t>
      </w:r>
    </w:p>
    <w:p w:rsidR="003F210F" w:rsidRPr="004D4C57" w:rsidRDefault="003F210F" w:rsidP="004D4C57">
      <w:pPr>
        <w:pStyle w:val="fp-1"/>
        <w:rPr>
          <w:sz w:val="22"/>
          <w:szCs w:val="22"/>
        </w:rPr>
      </w:pPr>
      <w:r w:rsidRPr="004D4C57">
        <w:rPr>
          <w:sz w:val="22"/>
          <w:szCs w:val="22"/>
        </w:rPr>
        <w:t>kg = kilogram</w:t>
      </w:r>
    </w:p>
    <w:p w:rsidR="003F210F" w:rsidRPr="004D4C57" w:rsidRDefault="003F210F" w:rsidP="004D4C57">
      <w:pPr>
        <w:pStyle w:val="fp-1"/>
        <w:rPr>
          <w:sz w:val="22"/>
          <w:szCs w:val="22"/>
        </w:rPr>
      </w:pPr>
      <w:r w:rsidRPr="004D4C57">
        <w:rPr>
          <w:sz w:val="22"/>
          <w:szCs w:val="22"/>
        </w:rPr>
        <w:t>l = liter</w:t>
      </w:r>
    </w:p>
    <w:p w:rsidR="003F210F" w:rsidRPr="004D4C57" w:rsidRDefault="003F210F" w:rsidP="004D4C57">
      <w:pPr>
        <w:pStyle w:val="fp-1"/>
        <w:rPr>
          <w:sz w:val="22"/>
          <w:szCs w:val="22"/>
        </w:rPr>
      </w:pPr>
      <w:r w:rsidRPr="004D4C57">
        <w:rPr>
          <w:sz w:val="22"/>
          <w:szCs w:val="22"/>
        </w:rPr>
        <w:t>m = meter</w:t>
      </w:r>
    </w:p>
    <w:p w:rsidR="003F210F" w:rsidRPr="004D4C57" w:rsidRDefault="003F210F" w:rsidP="004D4C57">
      <w:pPr>
        <w:pStyle w:val="fp-1"/>
        <w:rPr>
          <w:sz w:val="22"/>
          <w:szCs w:val="22"/>
        </w:rPr>
      </w:pPr>
      <w:r w:rsidRPr="004D4C57">
        <w:rPr>
          <w:sz w:val="22"/>
          <w:szCs w:val="22"/>
        </w:rPr>
        <w:t>m</w:t>
      </w:r>
      <w:r w:rsidRPr="004D4C57">
        <w:rPr>
          <w:rStyle w:val="su1"/>
          <w:sz w:val="22"/>
          <w:szCs w:val="22"/>
        </w:rPr>
        <w:t>3</w:t>
      </w:r>
      <w:r w:rsidRPr="004D4C57">
        <w:rPr>
          <w:sz w:val="22"/>
          <w:szCs w:val="22"/>
        </w:rPr>
        <w:t xml:space="preserve"> = cubic meter</w:t>
      </w:r>
    </w:p>
    <w:p w:rsidR="003F210F" w:rsidRPr="004D4C57" w:rsidRDefault="003F210F" w:rsidP="004D4C57">
      <w:pPr>
        <w:pStyle w:val="fp-1"/>
        <w:rPr>
          <w:sz w:val="22"/>
          <w:szCs w:val="22"/>
        </w:rPr>
      </w:pPr>
      <w:r w:rsidRPr="004D4C57">
        <w:rPr>
          <w:sz w:val="22"/>
          <w:szCs w:val="22"/>
        </w:rPr>
        <w:t>mg = milligram = 10</w:t>
      </w:r>
      <w:r w:rsidRPr="004D4C57">
        <w:rPr>
          <w:sz w:val="22"/>
          <w:szCs w:val="22"/>
          <w:vertAlign w:val="superscript"/>
        </w:rPr>
        <w:t>−3</w:t>
      </w:r>
      <w:r w:rsidRPr="004D4C57">
        <w:rPr>
          <w:sz w:val="22"/>
          <w:szCs w:val="22"/>
        </w:rPr>
        <w:t xml:space="preserve"> gram</w:t>
      </w:r>
    </w:p>
    <w:p w:rsidR="003F210F" w:rsidRPr="004D4C57" w:rsidRDefault="003F210F" w:rsidP="004D4C57">
      <w:pPr>
        <w:pStyle w:val="fp-1"/>
        <w:rPr>
          <w:sz w:val="22"/>
          <w:szCs w:val="22"/>
        </w:rPr>
      </w:pPr>
      <w:r w:rsidRPr="004D4C57">
        <w:rPr>
          <w:sz w:val="22"/>
          <w:szCs w:val="22"/>
        </w:rPr>
        <w:t>ml = milliliter = 10</w:t>
      </w:r>
      <w:r w:rsidRPr="004D4C57">
        <w:rPr>
          <w:sz w:val="22"/>
          <w:szCs w:val="22"/>
          <w:vertAlign w:val="superscript"/>
        </w:rPr>
        <w:t>−3</w:t>
      </w:r>
      <w:r w:rsidRPr="004D4C57">
        <w:rPr>
          <w:sz w:val="22"/>
          <w:szCs w:val="22"/>
        </w:rPr>
        <w:t xml:space="preserve"> liter</w:t>
      </w:r>
    </w:p>
    <w:p w:rsidR="003F210F" w:rsidRPr="004D4C57" w:rsidRDefault="003F210F" w:rsidP="004D4C57">
      <w:pPr>
        <w:pStyle w:val="fp-1"/>
        <w:rPr>
          <w:sz w:val="22"/>
          <w:szCs w:val="22"/>
        </w:rPr>
      </w:pPr>
      <w:r w:rsidRPr="004D4C57">
        <w:rPr>
          <w:sz w:val="22"/>
          <w:szCs w:val="22"/>
        </w:rPr>
        <w:t>mm = millimeter = 10</w:t>
      </w:r>
      <w:r w:rsidRPr="004D4C57">
        <w:rPr>
          <w:sz w:val="22"/>
          <w:szCs w:val="22"/>
          <w:vertAlign w:val="superscript"/>
        </w:rPr>
        <w:t>−3</w:t>
      </w:r>
      <w:r w:rsidRPr="004D4C57">
        <w:rPr>
          <w:sz w:val="22"/>
          <w:szCs w:val="22"/>
        </w:rPr>
        <w:t xml:space="preserve"> meter</w:t>
      </w:r>
    </w:p>
    <w:p w:rsidR="003F210F" w:rsidRPr="004D4C57" w:rsidRDefault="003F210F" w:rsidP="004D4C57">
      <w:pPr>
        <w:pStyle w:val="fp-1"/>
        <w:rPr>
          <w:sz w:val="22"/>
          <w:szCs w:val="22"/>
        </w:rPr>
      </w:pPr>
      <w:r w:rsidRPr="004D4C57">
        <w:rPr>
          <w:sz w:val="22"/>
          <w:szCs w:val="22"/>
        </w:rPr>
        <w:t>Mg = megagram = 10</w:t>
      </w:r>
      <w:r w:rsidRPr="004D4C57">
        <w:rPr>
          <w:rStyle w:val="su1"/>
          <w:sz w:val="22"/>
          <w:szCs w:val="22"/>
        </w:rPr>
        <w:t>6</w:t>
      </w:r>
      <w:r w:rsidRPr="004D4C57">
        <w:rPr>
          <w:sz w:val="22"/>
          <w:szCs w:val="22"/>
        </w:rPr>
        <w:t xml:space="preserve"> gram = metric ton</w:t>
      </w:r>
    </w:p>
    <w:p w:rsidR="003F210F" w:rsidRPr="004D4C57" w:rsidRDefault="003F210F" w:rsidP="004D4C57">
      <w:pPr>
        <w:pStyle w:val="fp-1"/>
        <w:rPr>
          <w:sz w:val="22"/>
          <w:szCs w:val="22"/>
        </w:rPr>
      </w:pPr>
      <w:r w:rsidRPr="004D4C57">
        <w:rPr>
          <w:sz w:val="22"/>
          <w:szCs w:val="22"/>
        </w:rPr>
        <w:t>MJ = megajoule</w:t>
      </w:r>
    </w:p>
    <w:p w:rsidR="003F210F" w:rsidRPr="004D4C57" w:rsidRDefault="003F210F" w:rsidP="004D4C57">
      <w:pPr>
        <w:pStyle w:val="fp-1"/>
        <w:rPr>
          <w:sz w:val="22"/>
          <w:szCs w:val="22"/>
        </w:rPr>
      </w:pPr>
      <w:r w:rsidRPr="004D4C57">
        <w:rPr>
          <w:sz w:val="22"/>
          <w:szCs w:val="22"/>
        </w:rPr>
        <w:t>mol = mole</w:t>
      </w:r>
    </w:p>
    <w:p w:rsidR="003F210F" w:rsidRPr="004D4C57" w:rsidRDefault="003F210F" w:rsidP="004D4C57">
      <w:pPr>
        <w:pStyle w:val="fp-1"/>
        <w:rPr>
          <w:sz w:val="22"/>
          <w:szCs w:val="22"/>
        </w:rPr>
      </w:pPr>
      <w:r w:rsidRPr="004D4C57">
        <w:rPr>
          <w:sz w:val="22"/>
          <w:szCs w:val="22"/>
        </w:rPr>
        <w:t>N = newton</w:t>
      </w:r>
    </w:p>
    <w:p w:rsidR="003F210F" w:rsidRPr="004D4C57" w:rsidRDefault="003F210F" w:rsidP="004D4C57">
      <w:pPr>
        <w:pStyle w:val="fp-1"/>
        <w:rPr>
          <w:sz w:val="22"/>
          <w:szCs w:val="22"/>
        </w:rPr>
      </w:pPr>
      <w:r w:rsidRPr="004D4C57">
        <w:rPr>
          <w:sz w:val="22"/>
          <w:szCs w:val="22"/>
        </w:rPr>
        <w:t>ng = nanogram = 10</w:t>
      </w:r>
      <w:r w:rsidRPr="004D4C57">
        <w:rPr>
          <w:sz w:val="22"/>
          <w:szCs w:val="22"/>
          <w:vertAlign w:val="superscript"/>
        </w:rPr>
        <w:t>−9</w:t>
      </w:r>
      <w:r w:rsidRPr="004D4C57">
        <w:rPr>
          <w:sz w:val="22"/>
          <w:szCs w:val="22"/>
        </w:rPr>
        <w:t xml:space="preserve"> gram</w:t>
      </w:r>
    </w:p>
    <w:p w:rsidR="003F210F" w:rsidRPr="004D4C57" w:rsidRDefault="003F210F" w:rsidP="004D4C57">
      <w:pPr>
        <w:pStyle w:val="fp-1"/>
        <w:rPr>
          <w:sz w:val="22"/>
          <w:szCs w:val="22"/>
        </w:rPr>
      </w:pPr>
      <w:r w:rsidRPr="004D4C57">
        <w:rPr>
          <w:sz w:val="22"/>
          <w:szCs w:val="22"/>
        </w:rPr>
        <w:t>nm = nanometer = 10</w:t>
      </w:r>
      <w:r w:rsidRPr="004D4C57">
        <w:rPr>
          <w:sz w:val="22"/>
          <w:szCs w:val="22"/>
          <w:vertAlign w:val="superscript"/>
        </w:rPr>
        <w:t>−9</w:t>
      </w:r>
      <w:r w:rsidRPr="004D4C57">
        <w:rPr>
          <w:sz w:val="22"/>
          <w:szCs w:val="22"/>
        </w:rPr>
        <w:t xml:space="preserve"> meter</w:t>
      </w:r>
    </w:p>
    <w:p w:rsidR="003F210F" w:rsidRPr="004D4C57" w:rsidRDefault="003F210F" w:rsidP="004D4C57">
      <w:pPr>
        <w:pStyle w:val="fp-1"/>
        <w:rPr>
          <w:sz w:val="22"/>
          <w:szCs w:val="22"/>
        </w:rPr>
      </w:pPr>
      <w:r w:rsidRPr="004D4C57">
        <w:rPr>
          <w:sz w:val="22"/>
          <w:szCs w:val="22"/>
        </w:rPr>
        <w:t>Pa = pascal</w:t>
      </w:r>
    </w:p>
    <w:p w:rsidR="003F210F" w:rsidRPr="004D4C57" w:rsidRDefault="003F210F" w:rsidP="004D4C57">
      <w:pPr>
        <w:pStyle w:val="fp-1"/>
        <w:rPr>
          <w:sz w:val="22"/>
          <w:szCs w:val="22"/>
        </w:rPr>
      </w:pPr>
      <w:r w:rsidRPr="004D4C57">
        <w:rPr>
          <w:sz w:val="22"/>
          <w:szCs w:val="22"/>
        </w:rPr>
        <w:t>s = second</w:t>
      </w:r>
    </w:p>
    <w:p w:rsidR="003F210F" w:rsidRPr="004D4C57" w:rsidRDefault="003F210F" w:rsidP="004D4C57">
      <w:pPr>
        <w:pStyle w:val="fp-1"/>
        <w:rPr>
          <w:sz w:val="22"/>
          <w:szCs w:val="22"/>
        </w:rPr>
      </w:pPr>
      <w:r w:rsidRPr="004D4C57">
        <w:rPr>
          <w:sz w:val="22"/>
          <w:szCs w:val="22"/>
        </w:rPr>
        <w:t>V = volt</w:t>
      </w:r>
    </w:p>
    <w:p w:rsidR="003F210F" w:rsidRPr="004D4C57" w:rsidRDefault="003F210F" w:rsidP="004D4C57">
      <w:pPr>
        <w:pStyle w:val="fp-1"/>
        <w:rPr>
          <w:sz w:val="22"/>
          <w:szCs w:val="22"/>
        </w:rPr>
      </w:pPr>
      <w:r w:rsidRPr="004D4C57">
        <w:rPr>
          <w:sz w:val="22"/>
          <w:szCs w:val="22"/>
        </w:rPr>
        <w:t>W = watt</w:t>
      </w:r>
    </w:p>
    <w:p w:rsidR="003F210F" w:rsidRPr="004D4C57" w:rsidRDefault="003F210F" w:rsidP="004D4C57">
      <w:pPr>
        <w:pStyle w:val="fp-1"/>
        <w:rPr>
          <w:sz w:val="22"/>
          <w:szCs w:val="22"/>
        </w:rPr>
      </w:pPr>
      <w:r w:rsidRPr="004D4C57">
        <w:rPr>
          <w:sz w:val="22"/>
          <w:szCs w:val="22"/>
        </w:rPr>
        <w:t>Ω = ohm</w:t>
      </w:r>
    </w:p>
    <w:p w:rsidR="003F210F" w:rsidRPr="004D4C57" w:rsidRDefault="003F210F" w:rsidP="004D4C57">
      <w:pPr>
        <w:pStyle w:val="fp-1"/>
        <w:rPr>
          <w:sz w:val="22"/>
          <w:szCs w:val="22"/>
        </w:rPr>
      </w:pPr>
      <w:r w:rsidRPr="004D4C57">
        <w:rPr>
          <w:sz w:val="22"/>
          <w:szCs w:val="22"/>
        </w:rPr>
        <w:t>µg = microgram = 10</w:t>
      </w:r>
      <w:r w:rsidRPr="004D4C57">
        <w:rPr>
          <w:sz w:val="22"/>
          <w:szCs w:val="22"/>
          <w:vertAlign w:val="superscript"/>
        </w:rPr>
        <w:t>−6</w:t>
      </w:r>
      <w:r w:rsidRPr="004D4C57">
        <w:rPr>
          <w:sz w:val="22"/>
          <w:szCs w:val="22"/>
        </w:rPr>
        <w:t xml:space="preserve"> gram</w:t>
      </w:r>
    </w:p>
    <w:p w:rsidR="003F210F" w:rsidRPr="004D4C57" w:rsidRDefault="003F210F" w:rsidP="004D4C57">
      <w:pPr>
        <w:pStyle w:val="fp-1"/>
        <w:rPr>
          <w:sz w:val="22"/>
          <w:szCs w:val="22"/>
        </w:rPr>
      </w:pPr>
      <w:r w:rsidRPr="004D4C57">
        <w:rPr>
          <w:sz w:val="22"/>
          <w:szCs w:val="22"/>
        </w:rPr>
        <w:t>µl = microliter = 10</w:t>
      </w:r>
      <w:r w:rsidRPr="004D4C57">
        <w:rPr>
          <w:sz w:val="22"/>
          <w:szCs w:val="22"/>
          <w:vertAlign w:val="superscript"/>
        </w:rPr>
        <w:t>−6</w:t>
      </w:r>
      <w:r w:rsidRPr="004D4C57">
        <w:rPr>
          <w:sz w:val="22"/>
          <w:szCs w:val="22"/>
        </w:rPr>
        <w:t xml:space="preserve"> liter</w:t>
      </w:r>
    </w:p>
    <w:p w:rsidR="003F210F" w:rsidRPr="004D4C57" w:rsidRDefault="003F210F" w:rsidP="004D4C57">
      <w:pPr>
        <w:pStyle w:val="NormalWeb"/>
        <w:rPr>
          <w:sz w:val="22"/>
          <w:szCs w:val="22"/>
        </w:rPr>
      </w:pPr>
      <w:r w:rsidRPr="004D4C57">
        <w:rPr>
          <w:sz w:val="22"/>
          <w:szCs w:val="22"/>
        </w:rPr>
        <w:lastRenderedPageBreak/>
        <w:t xml:space="preserve">(b) </w:t>
      </w:r>
      <w:r w:rsidRPr="004D4C57">
        <w:rPr>
          <w:i/>
          <w:iCs/>
          <w:sz w:val="22"/>
          <w:szCs w:val="22"/>
        </w:rPr>
        <w:t>Other units of measure:</w:t>
      </w:r>
    </w:p>
    <w:p w:rsidR="003F210F" w:rsidRPr="004D4C57" w:rsidRDefault="003F210F" w:rsidP="004D4C57">
      <w:pPr>
        <w:pStyle w:val="fp-1"/>
        <w:rPr>
          <w:sz w:val="22"/>
          <w:szCs w:val="22"/>
        </w:rPr>
      </w:pPr>
      <w:r w:rsidRPr="004D4C57">
        <w:rPr>
          <w:sz w:val="22"/>
          <w:szCs w:val="22"/>
        </w:rPr>
        <w:t>Btu = British thermal unit</w:t>
      </w:r>
    </w:p>
    <w:p w:rsidR="003F210F" w:rsidRPr="004D4C57" w:rsidRDefault="003F210F" w:rsidP="004D4C57">
      <w:pPr>
        <w:pStyle w:val="fp-1"/>
        <w:rPr>
          <w:sz w:val="22"/>
          <w:szCs w:val="22"/>
        </w:rPr>
      </w:pPr>
      <w:r w:rsidRPr="004D4C57">
        <w:rPr>
          <w:sz w:val="22"/>
          <w:szCs w:val="22"/>
        </w:rPr>
        <w:t>°C = degree Celsius (centigrade)</w:t>
      </w:r>
    </w:p>
    <w:p w:rsidR="003F210F" w:rsidRPr="004D4C57" w:rsidRDefault="003F210F" w:rsidP="004D4C57">
      <w:pPr>
        <w:pStyle w:val="fp-1"/>
        <w:rPr>
          <w:sz w:val="22"/>
          <w:szCs w:val="22"/>
        </w:rPr>
      </w:pPr>
      <w:r w:rsidRPr="004D4C57">
        <w:rPr>
          <w:sz w:val="22"/>
          <w:szCs w:val="22"/>
        </w:rPr>
        <w:t>cal = calorie</w:t>
      </w:r>
    </w:p>
    <w:p w:rsidR="003F210F" w:rsidRPr="004D4C57" w:rsidRDefault="003F210F" w:rsidP="004D4C57">
      <w:pPr>
        <w:pStyle w:val="fp-1"/>
        <w:rPr>
          <w:sz w:val="22"/>
          <w:szCs w:val="22"/>
        </w:rPr>
      </w:pPr>
      <w:r w:rsidRPr="004D4C57">
        <w:rPr>
          <w:sz w:val="22"/>
          <w:szCs w:val="22"/>
        </w:rPr>
        <w:t>cfm = cubic feet per minute</w:t>
      </w:r>
    </w:p>
    <w:p w:rsidR="003F210F" w:rsidRPr="004D4C57" w:rsidRDefault="003F210F" w:rsidP="004D4C57">
      <w:pPr>
        <w:pStyle w:val="fp-1"/>
        <w:rPr>
          <w:sz w:val="22"/>
          <w:szCs w:val="22"/>
        </w:rPr>
      </w:pPr>
      <w:r w:rsidRPr="004D4C57">
        <w:rPr>
          <w:sz w:val="22"/>
          <w:szCs w:val="22"/>
        </w:rPr>
        <w:t>cc = cubic centimeter</w:t>
      </w:r>
    </w:p>
    <w:p w:rsidR="003F210F" w:rsidRPr="004D4C57" w:rsidRDefault="003F210F" w:rsidP="004D4C57">
      <w:pPr>
        <w:pStyle w:val="fp-1"/>
        <w:rPr>
          <w:sz w:val="22"/>
          <w:szCs w:val="22"/>
        </w:rPr>
      </w:pPr>
      <w:r w:rsidRPr="004D4C57">
        <w:rPr>
          <w:sz w:val="22"/>
          <w:szCs w:val="22"/>
        </w:rPr>
        <w:t>cu ft = cubic feet</w:t>
      </w:r>
    </w:p>
    <w:p w:rsidR="003F210F" w:rsidRPr="004D4C57" w:rsidRDefault="003F210F" w:rsidP="004D4C57">
      <w:pPr>
        <w:pStyle w:val="fp-1"/>
        <w:rPr>
          <w:sz w:val="22"/>
          <w:szCs w:val="22"/>
        </w:rPr>
      </w:pPr>
      <w:r w:rsidRPr="004D4C57">
        <w:rPr>
          <w:sz w:val="22"/>
          <w:szCs w:val="22"/>
        </w:rPr>
        <w:t>d = day</w:t>
      </w:r>
    </w:p>
    <w:p w:rsidR="003F210F" w:rsidRPr="004D4C57" w:rsidRDefault="003F210F" w:rsidP="004D4C57">
      <w:pPr>
        <w:pStyle w:val="fp-1"/>
        <w:rPr>
          <w:sz w:val="22"/>
          <w:szCs w:val="22"/>
        </w:rPr>
      </w:pPr>
      <w:r w:rsidRPr="004D4C57">
        <w:rPr>
          <w:sz w:val="22"/>
          <w:szCs w:val="22"/>
        </w:rPr>
        <w:t>dcf = dry cubic feet</w:t>
      </w:r>
    </w:p>
    <w:p w:rsidR="003F210F" w:rsidRPr="004D4C57" w:rsidRDefault="003F210F" w:rsidP="004D4C57">
      <w:pPr>
        <w:pStyle w:val="fp-1"/>
        <w:rPr>
          <w:sz w:val="22"/>
          <w:szCs w:val="22"/>
        </w:rPr>
      </w:pPr>
      <w:r w:rsidRPr="004D4C57">
        <w:rPr>
          <w:sz w:val="22"/>
          <w:szCs w:val="22"/>
        </w:rPr>
        <w:t>dcm = dry cubic meter</w:t>
      </w:r>
    </w:p>
    <w:p w:rsidR="003F210F" w:rsidRPr="004D4C57" w:rsidRDefault="003F210F" w:rsidP="004D4C57">
      <w:pPr>
        <w:pStyle w:val="fp-1"/>
        <w:rPr>
          <w:sz w:val="22"/>
          <w:szCs w:val="22"/>
        </w:rPr>
      </w:pPr>
      <w:r w:rsidRPr="004D4C57">
        <w:rPr>
          <w:sz w:val="22"/>
          <w:szCs w:val="22"/>
        </w:rPr>
        <w:t>dscf = dry cubic feet at standard conditions</w:t>
      </w:r>
    </w:p>
    <w:p w:rsidR="003F210F" w:rsidRPr="004D4C57" w:rsidRDefault="003F210F" w:rsidP="004D4C57">
      <w:pPr>
        <w:pStyle w:val="fp-1"/>
        <w:rPr>
          <w:sz w:val="22"/>
          <w:szCs w:val="22"/>
        </w:rPr>
      </w:pPr>
      <w:r w:rsidRPr="004D4C57">
        <w:rPr>
          <w:sz w:val="22"/>
          <w:szCs w:val="22"/>
        </w:rPr>
        <w:t>dscm = dry cubic meter at standard conditions</w:t>
      </w:r>
    </w:p>
    <w:p w:rsidR="003F210F" w:rsidRPr="004D4C57" w:rsidRDefault="003F210F" w:rsidP="004D4C57">
      <w:pPr>
        <w:pStyle w:val="fp-1"/>
        <w:rPr>
          <w:sz w:val="22"/>
          <w:szCs w:val="22"/>
        </w:rPr>
      </w:pPr>
      <w:r w:rsidRPr="004D4C57">
        <w:rPr>
          <w:sz w:val="22"/>
          <w:szCs w:val="22"/>
        </w:rPr>
        <w:t>eq = equivalent</w:t>
      </w:r>
    </w:p>
    <w:p w:rsidR="003F210F" w:rsidRPr="004D4C57" w:rsidRDefault="003F210F" w:rsidP="004D4C57">
      <w:pPr>
        <w:pStyle w:val="fp-1"/>
        <w:rPr>
          <w:sz w:val="22"/>
          <w:szCs w:val="22"/>
        </w:rPr>
      </w:pPr>
      <w:r w:rsidRPr="004D4C57">
        <w:rPr>
          <w:sz w:val="22"/>
          <w:szCs w:val="22"/>
        </w:rPr>
        <w:t>°F degree Fahrenheit</w:t>
      </w:r>
    </w:p>
    <w:p w:rsidR="003F210F" w:rsidRPr="004D4C57" w:rsidRDefault="003F210F" w:rsidP="004D4C57">
      <w:pPr>
        <w:pStyle w:val="fp-1"/>
        <w:rPr>
          <w:sz w:val="22"/>
          <w:szCs w:val="22"/>
        </w:rPr>
      </w:pPr>
      <w:r w:rsidRPr="004D4C57">
        <w:rPr>
          <w:sz w:val="22"/>
          <w:szCs w:val="22"/>
        </w:rPr>
        <w:t>ft = feet</w:t>
      </w:r>
    </w:p>
    <w:p w:rsidR="003F210F" w:rsidRPr="004D4C57" w:rsidRDefault="003F210F" w:rsidP="004D4C57">
      <w:pPr>
        <w:pStyle w:val="fp-1"/>
        <w:rPr>
          <w:sz w:val="22"/>
          <w:szCs w:val="22"/>
        </w:rPr>
      </w:pPr>
      <w:r w:rsidRPr="004D4C57">
        <w:rPr>
          <w:sz w:val="22"/>
          <w:szCs w:val="22"/>
        </w:rPr>
        <w:t>ft</w:t>
      </w:r>
      <w:r w:rsidRPr="004D4C57">
        <w:rPr>
          <w:rStyle w:val="su1"/>
          <w:sz w:val="22"/>
          <w:szCs w:val="22"/>
        </w:rPr>
        <w:t>2</w:t>
      </w:r>
      <w:r w:rsidRPr="004D4C57">
        <w:rPr>
          <w:sz w:val="22"/>
          <w:szCs w:val="22"/>
        </w:rPr>
        <w:t xml:space="preserve"> = square feet</w:t>
      </w:r>
    </w:p>
    <w:p w:rsidR="003F210F" w:rsidRPr="004D4C57" w:rsidRDefault="003F210F" w:rsidP="004D4C57">
      <w:pPr>
        <w:pStyle w:val="fp-1"/>
        <w:rPr>
          <w:sz w:val="22"/>
          <w:szCs w:val="22"/>
        </w:rPr>
      </w:pPr>
      <w:r w:rsidRPr="004D4C57">
        <w:rPr>
          <w:sz w:val="22"/>
          <w:szCs w:val="22"/>
        </w:rPr>
        <w:t>ft</w:t>
      </w:r>
      <w:r w:rsidRPr="004D4C57">
        <w:rPr>
          <w:rStyle w:val="su1"/>
          <w:sz w:val="22"/>
          <w:szCs w:val="22"/>
        </w:rPr>
        <w:t>3</w:t>
      </w:r>
      <w:r w:rsidRPr="004D4C57">
        <w:rPr>
          <w:sz w:val="22"/>
          <w:szCs w:val="22"/>
        </w:rPr>
        <w:t xml:space="preserve"> = cubic feet</w:t>
      </w:r>
    </w:p>
    <w:p w:rsidR="003F210F" w:rsidRPr="004D4C57" w:rsidRDefault="003F210F" w:rsidP="004D4C57">
      <w:pPr>
        <w:pStyle w:val="fp-1"/>
        <w:rPr>
          <w:sz w:val="22"/>
          <w:szCs w:val="22"/>
        </w:rPr>
      </w:pPr>
      <w:r w:rsidRPr="004D4C57">
        <w:rPr>
          <w:sz w:val="22"/>
          <w:szCs w:val="22"/>
        </w:rPr>
        <w:t>gal = gallon</w:t>
      </w:r>
    </w:p>
    <w:p w:rsidR="003F210F" w:rsidRPr="004D4C57" w:rsidRDefault="003F210F" w:rsidP="004D4C57">
      <w:pPr>
        <w:pStyle w:val="fp-1"/>
        <w:rPr>
          <w:sz w:val="22"/>
          <w:szCs w:val="22"/>
        </w:rPr>
      </w:pPr>
      <w:r w:rsidRPr="004D4C57">
        <w:rPr>
          <w:sz w:val="22"/>
          <w:szCs w:val="22"/>
        </w:rPr>
        <w:t>gr = grain</w:t>
      </w:r>
    </w:p>
    <w:p w:rsidR="003F210F" w:rsidRPr="004D4C57" w:rsidRDefault="003F210F" w:rsidP="004D4C57">
      <w:pPr>
        <w:pStyle w:val="fp-1"/>
        <w:rPr>
          <w:sz w:val="22"/>
          <w:szCs w:val="22"/>
        </w:rPr>
      </w:pPr>
      <w:r w:rsidRPr="004D4C57">
        <w:rPr>
          <w:sz w:val="22"/>
          <w:szCs w:val="22"/>
        </w:rPr>
        <w:t>g-eq = gram equivalent</w:t>
      </w:r>
    </w:p>
    <w:p w:rsidR="003F210F" w:rsidRPr="004D4C57" w:rsidRDefault="003F210F" w:rsidP="004D4C57">
      <w:pPr>
        <w:pStyle w:val="fp-1"/>
        <w:rPr>
          <w:sz w:val="22"/>
          <w:szCs w:val="22"/>
        </w:rPr>
      </w:pPr>
      <w:r w:rsidRPr="004D4C57">
        <w:rPr>
          <w:sz w:val="22"/>
          <w:szCs w:val="22"/>
        </w:rPr>
        <w:t>g-mole = gram mole</w:t>
      </w:r>
    </w:p>
    <w:p w:rsidR="003F210F" w:rsidRPr="004D4C57" w:rsidRDefault="003F210F" w:rsidP="004D4C57">
      <w:pPr>
        <w:pStyle w:val="fp-1"/>
        <w:rPr>
          <w:sz w:val="22"/>
          <w:szCs w:val="22"/>
        </w:rPr>
      </w:pPr>
      <w:r w:rsidRPr="004D4C57">
        <w:rPr>
          <w:sz w:val="22"/>
          <w:szCs w:val="22"/>
        </w:rPr>
        <w:t>hr = hour</w:t>
      </w:r>
    </w:p>
    <w:p w:rsidR="003F210F" w:rsidRPr="004D4C57" w:rsidRDefault="003F210F" w:rsidP="004D4C57">
      <w:pPr>
        <w:pStyle w:val="fp-1"/>
        <w:rPr>
          <w:sz w:val="22"/>
          <w:szCs w:val="22"/>
        </w:rPr>
      </w:pPr>
      <w:r w:rsidRPr="004D4C57">
        <w:rPr>
          <w:sz w:val="22"/>
          <w:szCs w:val="22"/>
        </w:rPr>
        <w:t>in. = inch</w:t>
      </w:r>
    </w:p>
    <w:p w:rsidR="003F210F" w:rsidRPr="004D4C57" w:rsidRDefault="003F210F" w:rsidP="004D4C57">
      <w:pPr>
        <w:pStyle w:val="fp-1"/>
        <w:rPr>
          <w:sz w:val="22"/>
          <w:szCs w:val="22"/>
        </w:rPr>
      </w:pPr>
      <w:r w:rsidRPr="004D4C57">
        <w:rPr>
          <w:sz w:val="22"/>
          <w:szCs w:val="22"/>
        </w:rPr>
        <w:t>in. H</w:t>
      </w:r>
      <w:r w:rsidRPr="004D4C57">
        <w:rPr>
          <w:sz w:val="22"/>
          <w:szCs w:val="22"/>
          <w:vertAlign w:val="subscript"/>
        </w:rPr>
        <w:t>2</w:t>
      </w:r>
      <w:r w:rsidRPr="004D4C57">
        <w:rPr>
          <w:sz w:val="22"/>
          <w:szCs w:val="22"/>
        </w:rPr>
        <w:t xml:space="preserve"> O = inches of water</w:t>
      </w:r>
    </w:p>
    <w:p w:rsidR="003F210F" w:rsidRPr="004D4C57" w:rsidRDefault="003F210F" w:rsidP="004D4C57">
      <w:pPr>
        <w:pStyle w:val="fp-1"/>
        <w:rPr>
          <w:sz w:val="22"/>
          <w:szCs w:val="22"/>
        </w:rPr>
      </w:pPr>
      <w:r w:rsidRPr="004D4C57">
        <w:rPr>
          <w:sz w:val="22"/>
          <w:szCs w:val="22"/>
        </w:rPr>
        <w:t>K = 1,000</w:t>
      </w:r>
    </w:p>
    <w:p w:rsidR="003F210F" w:rsidRPr="004D4C57" w:rsidRDefault="003F210F" w:rsidP="004D4C57">
      <w:pPr>
        <w:pStyle w:val="fp-1"/>
        <w:rPr>
          <w:sz w:val="22"/>
          <w:szCs w:val="22"/>
        </w:rPr>
      </w:pPr>
      <w:r w:rsidRPr="004D4C57">
        <w:rPr>
          <w:sz w:val="22"/>
          <w:szCs w:val="22"/>
        </w:rPr>
        <w:t>kcal = kilocalorie</w:t>
      </w:r>
    </w:p>
    <w:p w:rsidR="003F210F" w:rsidRPr="004D4C57" w:rsidRDefault="003F210F" w:rsidP="004D4C57">
      <w:pPr>
        <w:pStyle w:val="fp-1"/>
        <w:rPr>
          <w:sz w:val="22"/>
          <w:szCs w:val="22"/>
        </w:rPr>
      </w:pPr>
      <w:r w:rsidRPr="004D4C57">
        <w:rPr>
          <w:sz w:val="22"/>
          <w:szCs w:val="22"/>
        </w:rPr>
        <w:t>lb = pound</w:t>
      </w:r>
    </w:p>
    <w:p w:rsidR="003F210F" w:rsidRPr="004D4C57" w:rsidRDefault="003F210F" w:rsidP="004D4C57">
      <w:pPr>
        <w:pStyle w:val="fp-1"/>
        <w:rPr>
          <w:sz w:val="22"/>
          <w:szCs w:val="22"/>
        </w:rPr>
      </w:pPr>
      <w:r w:rsidRPr="004D4C57">
        <w:rPr>
          <w:sz w:val="22"/>
          <w:szCs w:val="22"/>
        </w:rPr>
        <w:t>lpm = liter per minute</w:t>
      </w:r>
    </w:p>
    <w:p w:rsidR="003F210F" w:rsidRPr="004D4C57" w:rsidRDefault="003F210F" w:rsidP="004D4C57">
      <w:pPr>
        <w:pStyle w:val="fp-1"/>
        <w:rPr>
          <w:sz w:val="22"/>
          <w:szCs w:val="22"/>
        </w:rPr>
      </w:pPr>
      <w:r w:rsidRPr="004D4C57">
        <w:rPr>
          <w:sz w:val="22"/>
          <w:szCs w:val="22"/>
        </w:rPr>
        <w:lastRenderedPageBreak/>
        <w:t>meq = milliequivalent</w:t>
      </w:r>
    </w:p>
    <w:p w:rsidR="003F210F" w:rsidRPr="004D4C57" w:rsidRDefault="003F210F" w:rsidP="004D4C57">
      <w:pPr>
        <w:pStyle w:val="fp-1"/>
        <w:rPr>
          <w:sz w:val="22"/>
          <w:szCs w:val="22"/>
        </w:rPr>
      </w:pPr>
      <w:r w:rsidRPr="004D4C57">
        <w:rPr>
          <w:sz w:val="22"/>
          <w:szCs w:val="22"/>
        </w:rPr>
        <w:t>min = minute</w:t>
      </w:r>
    </w:p>
    <w:p w:rsidR="003F210F" w:rsidRPr="004D4C57" w:rsidRDefault="003F210F" w:rsidP="004D4C57">
      <w:pPr>
        <w:pStyle w:val="fp-1"/>
        <w:rPr>
          <w:sz w:val="22"/>
          <w:szCs w:val="22"/>
        </w:rPr>
      </w:pPr>
      <w:r w:rsidRPr="004D4C57">
        <w:rPr>
          <w:sz w:val="22"/>
          <w:szCs w:val="22"/>
        </w:rPr>
        <w:t>MW = molecular weight</w:t>
      </w:r>
    </w:p>
    <w:p w:rsidR="003F210F" w:rsidRPr="004D4C57" w:rsidRDefault="003F210F" w:rsidP="004D4C57">
      <w:pPr>
        <w:pStyle w:val="fp-1"/>
        <w:rPr>
          <w:sz w:val="22"/>
          <w:szCs w:val="22"/>
        </w:rPr>
      </w:pPr>
      <w:r w:rsidRPr="004D4C57">
        <w:rPr>
          <w:sz w:val="22"/>
          <w:szCs w:val="22"/>
        </w:rPr>
        <w:t>oz = ounces</w:t>
      </w:r>
    </w:p>
    <w:p w:rsidR="003F210F" w:rsidRPr="004D4C57" w:rsidRDefault="003F210F" w:rsidP="004D4C57">
      <w:pPr>
        <w:pStyle w:val="fp-1"/>
        <w:rPr>
          <w:sz w:val="22"/>
          <w:szCs w:val="22"/>
        </w:rPr>
      </w:pPr>
      <w:r w:rsidRPr="004D4C57">
        <w:rPr>
          <w:sz w:val="22"/>
          <w:szCs w:val="22"/>
        </w:rPr>
        <w:t>ppb = parts per billion</w:t>
      </w:r>
    </w:p>
    <w:p w:rsidR="003F210F" w:rsidRPr="004D4C57" w:rsidRDefault="003F210F" w:rsidP="004D4C57">
      <w:pPr>
        <w:pStyle w:val="fp-1"/>
        <w:rPr>
          <w:sz w:val="22"/>
          <w:szCs w:val="22"/>
        </w:rPr>
      </w:pPr>
      <w:r w:rsidRPr="004D4C57">
        <w:rPr>
          <w:sz w:val="22"/>
          <w:szCs w:val="22"/>
        </w:rPr>
        <w:t>ppbw = parts per billion by weight</w:t>
      </w:r>
    </w:p>
    <w:p w:rsidR="003F210F" w:rsidRPr="004D4C57" w:rsidRDefault="003F210F" w:rsidP="004D4C57">
      <w:pPr>
        <w:pStyle w:val="fp-1"/>
        <w:rPr>
          <w:sz w:val="22"/>
          <w:szCs w:val="22"/>
        </w:rPr>
      </w:pPr>
      <w:r w:rsidRPr="004D4C57">
        <w:rPr>
          <w:sz w:val="22"/>
          <w:szCs w:val="22"/>
        </w:rPr>
        <w:t>ppbv = parts per billion by volume</w:t>
      </w:r>
    </w:p>
    <w:p w:rsidR="003F210F" w:rsidRPr="004D4C57" w:rsidRDefault="003F210F" w:rsidP="004D4C57">
      <w:pPr>
        <w:pStyle w:val="fp-1"/>
        <w:rPr>
          <w:sz w:val="22"/>
          <w:szCs w:val="22"/>
        </w:rPr>
      </w:pPr>
      <w:r w:rsidRPr="004D4C57">
        <w:rPr>
          <w:sz w:val="22"/>
          <w:szCs w:val="22"/>
        </w:rPr>
        <w:t>ppm = parts per million</w:t>
      </w:r>
    </w:p>
    <w:p w:rsidR="003F210F" w:rsidRPr="004D4C57" w:rsidRDefault="003F210F" w:rsidP="004D4C57">
      <w:pPr>
        <w:pStyle w:val="fp-1"/>
        <w:rPr>
          <w:sz w:val="22"/>
          <w:szCs w:val="22"/>
        </w:rPr>
      </w:pPr>
      <w:r w:rsidRPr="004D4C57">
        <w:rPr>
          <w:sz w:val="22"/>
          <w:szCs w:val="22"/>
        </w:rPr>
        <w:t>ppmw = parts per million by weight</w:t>
      </w:r>
    </w:p>
    <w:p w:rsidR="003F210F" w:rsidRPr="004D4C57" w:rsidRDefault="003F210F" w:rsidP="004D4C57">
      <w:pPr>
        <w:pStyle w:val="fp-1"/>
        <w:rPr>
          <w:sz w:val="22"/>
          <w:szCs w:val="22"/>
        </w:rPr>
      </w:pPr>
      <w:r w:rsidRPr="004D4C57">
        <w:rPr>
          <w:sz w:val="22"/>
          <w:szCs w:val="22"/>
        </w:rPr>
        <w:t>ppmv = parts per million by volume</w:t>
      </w:r>
    </w:p>
    <w:p w:rsidR="003F210F" w:rsidRPr="004D4C57" w:rsidRDefault="003F210F" w:rsidP="004D4C57">
      <w:pPr>
        <w:pStyle w:val="fp-1"/>
        <w:rPr>
          <w:sz w:val="22"/>
          <w:szCs w:val="22"/>
        </w:rPr>
      </w:pPr>
      <w:r w:rsidRPr="004D4C57">
        <w:rPr>
          <w:sz w:val="22"/>
          <w:szCs w:val="22"/>
        </w:rPr>
        <w:t>psia = pounds per square inch absolute</w:t>
      </w:r>
    </w:p>
    <w:p w:rsidR="003F210F" w:rsidRPr="004D4C57" w:rsidRDefault="003F210F" w:rsidP="004D4C57">
      <w:pPr>
        <w:pStyle w:val="fp-1"/>
        <w:rPr>
          <w:sz w:val="22"/>
          <w:szCs w:val="22"/>
        </w:rPr>
      </w:pPr>
      <w:r w:rsidRPr="004D4C57">
        <w:rPr>
          <w:sz w:val="22"/>
          <w:szCs w:val="22"/>
        </w:rPr>
        <w:t>psig = pounds per square inch gage</w:t>
      </w:r>
    </w:p>
    <w:p w:rsidR="003F210F" w:rsidRPr="004D4C57" w:rsidRDefault="003F210F" w:rsidP="004D4C57">
      <w:pPr>
        <w:pStyle w:val="fp-1"/>
        <w:rPr>
          <w:sz w:val="22"/>
          <w:szCs w:val="22"/>
        </w:rPr>
      </w:pPr>
      <w:r w:rsidRPr="004D4C57">
        <w:rPr>
          <w:sz w:val="22"/>
          <w:szCs w:val="22"/>
        </w:rPr>
        <w:t>°R = degree Rankine</w:t>
      </w:r>
    </w:p>
    <w:p w:rsidR="003F210F" w:rsidRPr="004D4C57" w:rsidRDefault="003F210F" w:rsidP="004D4C57">
      <w:pPr>
        <w:pStyle w:val="fp-1"/>
        <w:rPr>
          <w:sz w:val="22"/>
          <w:szCs w:val="22"/>
        </w:rPr>
      </w:pPr>
      <w:r w:rsidRPr="004D4C57">
        <w:rPr>
          <w:sz w:val="22"/>
          <w:szCs w:val="22"/>
        </w:rPr>
        <w:t>scf = cubic feet at standard conditions</w:t>
      </w:r>
    </w:p>
    <w:p w:rsidR="003F210F" w:rsidRPr="004D4C57" w:rsidRDefault="003F210F" w:rsidP="004D4C57">
      <w:pPr>
        <w:pStyle w:val="fp-1"/>
        <w:rPr>
          <w:sz w:val="22"/>
          <w:szCs w:val="22"/>
        </w:rPr>
      </w:pPr>
      <w:r w:rsidRPr="004D4C57">
        <w:rPr>
          <w:sz w:val="22"/>
          <w:szCs w:val="22"/>
        </w:rPr>
        <w:t>scfh = cubic feet at standard conditions per hour</w:t>
      </w:r>
    </w:p>
    <w:p w:rsidR="003F210F" w:rsidRPr="004D4C57" w:rsidRDefault="003F210F" w:rsidP="004D4C57">
      <w:pPr>
        <w:pStyle w:val="fp-1"/>
        <w:rPr>
          <w:sz w:val="22"/>
          <w:szCs w:val="22"/>
        </w:rPr>
      </w:pPr>
      <w:r w:rsidRPr="004D4C57">
        <w:rPr>
          <w:sz w:val="22"/>
          <w:szCs w:val="22"/>
        </w:rPr>
        <w:t>scm = cubic meter at standard conditions</w:t>
      </w:r>
    </w:p>
    <w:p w:rsidR="003F210F" w:rsidRPr="004D4C57" w:rsidRDefault="003F210F" w:rsidP="004D4C57">
      <w:pPr>
        <w:pStyle w:val="fp-1"/>
        <w:rPr>
          <w:sz w:val="22"/>
          <w:szCs w:val="22"/>
        </w:rPr>
      </w:pPr>
      <w:r w:rsidRPr="004D4C57">
        <w:rPr>
          <w:sz w:val="22"/>
          <w:szCs w:val="22"/>
        </w:rPr>
        <w:t xml:space="preserve">scmm = cubic meter at standard conditions per minute </w:t>
      </w:r>
    </w:p>
    <w:p w:rsidR="003F210F" w:rsidRPr="004D4C57" w:rsidRDefault="003F210F" w:rsidP="004D4C57">
      <w:pPr>
        <w:pStyle w:val="fp-1"/>
        <w:rPr>
          <w:sz w:val="22"/>
          <w:szCs w:val="22"/>
        </w:rPr>
      </w:pPr>
      <w:r w:rsidRPr="004D4C57">
        <w:rPr>
          <w:sz w:val="22"/>
          <w:szCs w:val="22"/>
        </w:rPr>
        <w:t>sec = second</w:t>
      </w:r>
    </w:p>
    <w:p w:rsidR="003F210F" w:rsidRPr="004D4C57" w:rsidRDefault="003F210F" w:rsidP="004D4C57">
      <w:pPr>
        <w:pStyle w:val="fp-1"/>
        <w:rPr>
          <w:sz w:val="22"/>
          <w:szCs w:val="22"/>
        </w:rPr>
      </w:pPr>
      <w:r w:rsidRPr="004D4C57">
        <w:rPr>
          <w:sz w:val="22"/>
          <w:szCs w:val="22"/>
        </w:rPr>
        <w:t>sq ft = square feet</w:t>
      </w:r>
    </w:p>
    <w:p w:rsidR="003F210F" w:rsidRPr="004D4C57" w:rsidRDefault="003F210F" w:rsidP="004D4C57">
      <w:pPr>
        <w:pStyle w:val="fp-1"/>
        <w:rPr>
          <w:sz w:val="22"/>
          <w:szCs w:val="22"/>
        </w:rPr>
      </w:pPr>
      <w:r w:rsidRPr="004D4C57">
        <w:rPr>
          <w:sz w:val="22"/>
          <w:szCs w:val="22"/>
        </w:rPr>
        <w:t>std = at standard conditions</w:t>
      </w:r>
    </w:p>
    <w:p w:rsidR="003F210F" w:rsidRPr="004D4C57" w:rsidRDefault="003F210F" w:rsidP="004D4C57">
      <w:pPr>
        <w:pStyle w:val="fp-1"/>
        <w:rPr>
          <w:sz w:val="22"/>
          <w:szCs w:val="22"/>
        </w:rPr>
      </w:pPr>
      <w:r w:rsidRPr="004D4C57">
        <w:rPr>
          <w:sz w:val="22"/>
          <w:szCs w:val="22"/>
        </w:rPr>
        <w:t>v/v = volume per volume</w:t>
      </w:r>
    </w:p>
    <w:p w:rsidR="003F210F" w:rsidRPr="004D4C57" w:rsidRDefault="003F210F" w:rsidP="004D4C57">
      <w:pPr>
        <w:pStyle w:val="fp-1"/>
        <w:rPr>
          <w:sz w:val="22"/>
          <w:szCs w:val="22"/>
        </w:rPr>
      </w:pPr>
      <w:r w:rsidRPr="004D4C57">
        <w:rPr>
          <w:sz w:val="22"/>
          <w:szCs w:val="22"/>
        </w:rPr>
        <w:t>yd</w:t>
      </w:r>
      <w:r w:rsidRPr="004D4C57">
        <w:rPr>
          <w:rStyle w:val="su1"/>
          <w:sz w:val="22"/>
          <w:szCs w:val="22"/>
        </w:rPr>
        <w:t>2</w:t>
      </w:r>
      <w:r w:rsidRPr="004D4C57">
        <w:rPr>
          <w:sz w:val="22"/>
          <w:szCs w:val="22"/>
        </w:rPr>
        <w:t xml:space="preserve"> = square yards</w:t>
      </w:r>
    </w:p>
    <w:p w:rsidR="003F210F" w:rsidRPr="004D4C57" w:rsidRDefault="003F210F" w:rsidP="004D4C57">
      <w:pPr>
        <w:pStyle w:val="fp-1"/>
        <w:rPr>
          <w:sz w:val="22"/>
          <w:szCs w:val="22"/>
        </w:rPr>
      </w:pPr>
      <w:r w:rsidRPr="004D4C57">
        <w:rPr>
          <w:sz w:val="22"/>
          <w:szCs w:val="22"/>
        </w:rPr>
        <w:t>yr = year</w:t>
      </w:r>
    </w:p>
    <w:p w:rsidR="003F210F" w:rsidRPr="004D4C57" w:rsidRDefault="003F210F" w:rsidP="004D4C57">
      <w:pPr>
        <w:pStyle w:val="NormalWeb"/>
        <w:rPr>
          <w:sz w:val="22"/>
          <w:szCs w:val="22"/>
        </w:rPr>
      </w:pPr>
      <w:r w:rsidRPr="004D4C57">
        <w:rPr>
          <w:sz w:val="22"/>
          <w:szCs w:val="22"/>
        </w:rPr>
        <w:t xml:space="preserve">(c) </w:t>
      </w:r>
      <w:r w:rsidRPr="004D4C57">
        <w:rPr>
          <w:i/>
          <w:iCs/>
          <w:sz w:val="22"/>
          <w:szCs w:val="22"/>
        </w:rPr>
        <w:t>Miscellaneous:</w:t>
      </w:r>
    </w:p>
    <w:p w:rsidR="003F210F" w:rsidRPr="004D4C57" w:rsidRDefault="003F210F" w:rsidP="004D4C57">
      <w:pPr>
        <w:pStyle w:val="fp-1"/>
        <w:rPr>
          <w:sz w:val="22"/>
          <w:szCs w:val="22"/>
        </w:rPr>
      </w:pPr>
      <w:r w:rsidRPr="004D4C57">
        <w:rPr>
          <w:sz w:val="22"/>
          <w:szCs w:val="22"/>
        </w:rPr>
        <w:t>act = actual</w:t>
      </w:r>
    </w:p>
    <w:p w:rsidR="003F210F" w:rsidRPr="004D4C57" w:rsidRDefault="003F210F" w:rsidP="004D4C57">
      <w:pPr>
        <w:pStyle w:val="fp-1"/>
        <w:rPr>
          <w:sz w:val="22"/>
          <w:szCs w:val="22"/>
        </w:rPr>
      </w:pPr>
      <w:r w:rsidRPr="004D4C57">
        <w:rPr>
          <w:sz w:val="22"/>
          <w:szCs w:val="22"/>
        </w:rPr>
        <w:t>avg = average</w:t>
      </w:r>
    </w:p>
    <w:p w:rsidR="003F210F" w:rsidRPr="004D4C57" w:rsidRDefault="003F210F" w:rsidP="004D4C57">
      <w:pPr>
        <w:pStyle w:val="fp-1"/>
        <w:rPr>
          <w:sz w:val="22"/>
          <w:szCs w:val="22"/>
        </w:rPr>
      </w:pPr>
      <w:r w:rsidRPr="004D4C57">
        <w:rPr>
          <w:sz w:val="22"/>
          <w:szCs w:val="22"/>
        </w:rPr>
        <w:t>I.D. = inside diameter</w:t>
      </w:r>
    </w:p>
    <w:p w:rsidR="003F210F" w:rsidRPr="004D4C57" w:rsidRDefault="003F210F" w:rsidP="004D4C57">
      <w:pPr>
        <w:pStyle w:val="fp-1"/>
        <w:rPr>
          <w:sz w:val="22"/>
          <w:szCs w:val="22"/>
        </w:rPr>
      </w:pPr>
      <w:r w:rsidRPr="004D4C57">
        <w:rPr>
          <w:sz w:val="22"/>
          <w:szCs w:val="22"/>
        </w:rPr>
        <w:t>M = molar</w:t>
      </w:r>
    </w:p>
    <w:p w:rsidR="003F210F" w:rsidRPr="004D4C57" w:rsidRDefault="003F210F" w:rsidP="004D4C57">
      <w:pPr>
        <w:pStyle w:val="fp-1"/>
        <w:rPr>
          <w:sz w:val="22"/>
          <w:szCs w:val="22"/>
        </w:rPr>
      </w:pPr>
      <w:r w:rsidRPr="004D4C57">
        <w:rPr>
          <w:sz w:val="22"/>
          <w:szCs w:val="22"/>
        </w:rPr>
        <w:lastRenderedPageBreak/>
        <w:t>N = normal</w:t>
      </w:r>
    </w:p>
    <w:p w:rsidR="003F210F" w:rsidRPr="004D4C57" w:rsidRDefault="003F210F" w:rsidP="004D4C57">
      <w:pPr>
        <w:pStyle w:val="fp-1"/>
        <w:rPr>
          <w:sz w:val="22"/>
          <w:szCs w:val="22"/>
        </w:rPr>
      </w:pPr>
      <w:r w:rsidRPr="004D4C57">
        <w:rPr>
          <w:sz w:val="22"/>
          <w:szCs w:val="22"/>
        </w:rPr>
        <w:t>O.D. = outside diameter</w:t>
      </w:r>
    </w:p>
    <w:p w:rsidR="003F210F" w:rsidRPr="004D4C57" w:rsidRDefault="003F210F" w:rsidP="004D4C57">
      <w:pPr>
        <w:pStyle w:val="fp-1"/>
        <w:rPr>
          <w:sz w:val="22"/>
          <w:szCs w:val="22"/>
        </w:rPr>
      </w:pPr>
      <w:r w:rsidRPr="004D4C57">
        <w:rPr>
          <w:sz w:val="22"/>
          <w:szCs w:val="22"/>
        </w:rPr>
        <w:t>% = percent</w:t>
      </w:r>
    </w:p>
    <w:p w:rsidR="003F210F" w:rsidRPr="004D4C57" w:rsidRDefault="003F210F" w:rsidP="004D4C57">
      <w:pPr>
        <w:pStyle w:val="cita"/>
        <w:rPr>
          <w:sz w:val="22"/>
          <w:szCs w:val="22"/>
        </w:rPr>
      </w:pPr>
      <w:r w:rsidRPr="004D4C57">
        <w:rPr>
          <w:sz w:val="22"/>
          <w:szCs w:val="22"/>
        </w:rPr>
        <w:t>[59 FR 12430, Mar. 16, 1994, as amended at 67 FR 16598, Apr. 5, 2002]</w:t>
      </w:r>
    </w:p>
    <w:p w:rsidR="003F210F" w:rsidRPr="004D4C57" w:rsidRDefault="007841E9" w:rsidP="004D4C57">
      <w:pPr>
        <w:pStyle w:val="fp"/>
        <w:rPr>
          <w:sz w:val="22"/>
          <w:szCs w:val="22"/>
        </w:rPr>
      </w:pPr>
      <w:hyperlink r:id="rId12" w:anchor="_top" w:history="1">
        <w:r w:rsidR="003F210F" w:rsidRPr="004D4C57">
          <w:rPr>
            <w:noProof/>
            <w:color w:val="0000FF"/>
            <w:sz w:val="22"/>
            <w:szCs w:val="22"/>
          </w:rPr>
          <w:drawing>
            <wp:inline distT="0" distB="0" distL="0" distR="0">
              <wp:extent cx="151130" cy="151130"/>
              <wp:effectExtent l="0" t="0" r="1270" b="1270"/>
              <wp:docPr id="17" name="Picture 17" descr="return arrow">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3F210F" w:rsidRPr="004D4C57">
          <w:rPr>
            <w:rStyle w:val="Hyperlink"/>
            <w:sz w:val="22"/>
            <w:szCs w:val="22"/>
          </w:rPr>
          <w:t>Back to Top</w:t>
        </w:r>
      </w:hyperlink>
    </w:p>
    <w:p w:rsidR="003F210F" w:rsidRPr="004D4C57" w:rsidRDefault="003F210F" w:rsidP="004D4C57">
      <w:pPr>
        <w:pStyle w:val="Heading2"/>
        <w:rPr>
          <w:rFonts w:ascii="Times New Roman" w:hAnsi="Times New Roman" w:cs="Times New Roman"/>
          <w:sz w:val="22"/>
          <w:szCs w:val="22"/>
        </w:rPr>
      </w:pPr>
      <w:bookmarkStart w:id="10" w:name="se40.11.63_14"/>
      <w:bookmarkEnd w:id="10"/>
      <w:r w:rsidRPr="004D4C57">
        <w:rPr>
          <w:rFonts w:ascii="Times New Roman" w:hAnsi="Times New Roman" w:cs="Times New Roman"/>
          <w:sz w:val="22"/>
          <w:szCs w:val="22"/>
        </w:rPr>
        <w:t>§63.4   Prohibited activities and circumvention.</w:t>
      </w:r>
    </w:p>
    <w:p w:rsidR="003F210F" w:rsidRPr="004D4C57" w:rsidRDefault="003F210F" w:rsidP="004D4C57">
      <w:pPr>
        <w:pStyle w:val="NormalWeb"/>
        <w:rPr>
          <w:sz w:val="22"/>
          <w:szCs w:val="22"/>
        </w:rPr>
      </w:pPr>
      <w:r w:rsidRPr="004D4C57">
        <w:rPr>
          <w:sz w:val="22"/>
          <w:szCs w:val="22"/>
        </w:rPr>
        <w:t xml:space="preserve">(a) </w:t>
      </w:r>
      <w:r w:rsidRPr="004D4C57">
        <w:rPr>
          <w:i/>
          <w:iCs/>
          <w:sz w:val="22"/>
          <w:szCs w:val="22"/>
        </w:rPr>
        <w:t>Prohibited activities.</w:t>
      </w:r>
      <w:r w:rsidRPr="004D4C57">
        <w:rPr>
          <w:sz w:val="22"/>
          <w:szCs w:val="22"/>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3F210F" w:rsidRPr="004D4C57" w:rsidRDefault="003F210F" w:rsidP="004D4C57">
      <w:pPr>
        <w:pStyle w:val="NormalWeb"/>
        <w:rPr>
          <w:sz w:val="22"/>
          <w:szCs w:val="22"/>
        </w:rPr>
      </w:pPr>
      <w:r w:rsidRPr="004D4C57">
        <w:rPr>
          <w:sz w:val="22"/>
          <w:szCs w:val="22"/>
        </w:rPr>
        <w:t>(2) No owner or operator subject to the provisions of this part shall fail to keep records, notify, report, or revise reports as required under this part.</w:t>
      </w:r>
    </w:p>
    <w:p w:rsidR="003F210F" w:rsidRPr="004D4C57" w:rsidRDefault="003F210F" w:rsidP="004D4C57">
      <w:pPr>
        <w:pStyle w:val="NormalWeb"/>
        <w:rPr>
          <w:sz w:val="22"/>
          <w:szCs w:val="22"/>
        </w:rPr>
      </w:pPr>
      <w:r w:rsidRPr="004D4C57">
        <w:rPr>
          <w:sz w:val="22"/>
          <w:szCs w:val="22"/>
        </w:rPr>
        <w:t>(</w:t>
      </w:r>
      <w:proofErr w:type="gramStart"/>
      <w:r w:rsidRPr="004D4C57">
        <w:rPr>
          <w:sz w:val="22"/>
          <w:szCs w:val="22"/>
        </w:rPr>
        <w:t>3)-(</w:t>
      </w:r>
      <w:proofErr w:type="gramEnd"/>
      <w:r w:rsidRPr="004D4C57">
        <w:rPr>
          <w:sz w:val="22"/>
          <w:szCs w:val="22"/>
        </w:rPr>
        <w:t>5) [Reserved]</w:t>
      </w:r>
    </w:p>
    <w:p w:rsidR="003F210F" w:rsidRPr="004D4C57" w:rsidRDefault="003F210F" w:rsidP="004D4C57">
      <w:pPr>
        <w:pStyle w:val="NormalWeb"/>
        <w:rPr>
          <w:sz w:val="22"/>
          <w:szCs w:val="22"/>
        </w:rPr>
      </w:pPr>
      <w:r w:rsidRPr="004D4C57">
        <w:rPr>
          <w:sz w:val="22"/>
          <w:szCs w:val="22"/>
        </w:rPr>
        <w:t xml:space="preserve">(b) </w:t>
      </w:r>
      <w:r w:rsidRPr="004D4C57">
        <w:rPr>
          <w:i/>
          <w:iCs/>
          <w:sz w:val="22"/>
          <w:szCs w:val="22"/>
        </w:rPr>
        <w:t>Circumvention.</w:t>
      </w:r>
      <w:r w:rsidRPr="004D4C57">
        <w:rPr>
          <w:sz w:val="22"/>
          <w:szCs w:val="22"/>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3F210F" w:rsidRPr="004D4C57" w:rsidRDefault="003F210F" w:rsidP="004D4C57">
      <w:pPr>
        <w:pStyle w:val="NormalWeb"/>
        <w:rPr>
          <w:sz w:val="22"/>
          <w:szCs w:val="22"/>
        </w:rPr>
      </w:pPr>
      <w:r w:rsidRPr="004D4C57">
        <w:rPr>
          <w:sz w:val="22"/>
          <w:szCs w:val="22"/>
        </w:rPr>
        <w:t>(1) The use of diluents to achieve compliance with a relevant standard based on the concentration of a pollutant in the effluent discharged to the atmosphere;</w:t>
      </w:r>
    </w:p>
    <w:p w:rsidR="003F210F" w:rsidRPr="004D4C57" w:rsidRDefault="003F210F" w:rsidP="004D4C57">
      <w:pPr>
        <w:pStyle w:val="NormalWeb"/>
        <w:rPr>
          <w:sz w:val="22"/>
          <w:szCs w:val="22"/>
        </w:rPr>
      </w:pPr>
      <w:r w:rsidRPr="004D4C57">
        <w:rPr>
          <w:sz w:val="22"/>
          <w:szCs w:val="22"/>
        </w:rPr>
        <w:t>(2) The use of gaseous diluents to achieve compliance with a relevant standard for visible emissions; and</w:t>
      </w:r>
    </w:p>
    <w:p w:rsidR="003F210F" w:rsidRPr="004D4C57" w:rsidRDefault="003F210F" w:rsidP="004D4C57">
      <w:pPr>
        <w:pStyle w:val="NormalWeb"/>
        <w:rPr>
          <w:sz w:val="22"/>
          <w:szCs w:val="22"/>
        </w:rPr>
      </w:pPr>
      <w:r w:rsidRPr="004D4C57">
        <w:rPr>
          <w:sz w:val="22"/>
          <w:szCs w:val="22"/>
        </w:rPr>
        <w:t xml:space="preserve">(c) </w:t>
      </w:r>
      <w:r w:rsidRPr="004D4C57">
        <w:rPr>
          <w:i/>
          <w:iCs/>
          <w:sz w:val="22"/>
          <w:szCs w:val="22"/>
        </w:rPr>
        <w:t>Fragmentation.</w:t>
      </w:r>
      <w:r w:rsidRPr="004D4C57">
        <w:rPr>
          <w:sz w:val="22"/>
          <w:szCs w:val="22"/>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3F210F" w:rsidRPr="004D4C57" w:rsidRDefault="003F210F" w:rsidP="004D4C57">
      <w:pPr>
        <w:pStyle w:val="cita"/>
        <w:rPr>
          <w:sz w:val="22"/>
          <w:szCs w:val="22"/>
        </w:rPr>
      </w:pPr>
      <w:r w:rsidRPr="004D4C57">
        <w:rPr>
          <w:sz w:val="22"/>
          <w:szCs w:val="22"/>
        </w:rPr>
        <w:t>[59 FR 12430, Mar. 16, 1994, as amended at 67 FR 16598, Apr. 5, 2002]</w:t>
      </w:r>
    </w:p>
    <w:p w:rsidR="003F210F" w:rsidRPr="004D4C57" w:rsidRDefault="003F210F" w:rsidP="004D4C57">
      <w:pPr>
        <w:pStyle w:val="Heading2"/>
        <w:rPr>
          <w:rFonts w:ascii="Times New Roman" w:hAnsi="Times New Roman" w:cs="Times New Roman"/>
          <w:sz w:val="22"/>
          <w:szCs w:val="22"/>
        </w:rPr>
      </w:pPr>
      <w:bookmarkStart w:id="11" w:name="se40.11.63_15"/>
      <w:bookmarkEnd w:id="11"/>
      <w:r w:rsidRPr="004D4C57">
        <w:rPr>
          <w:rFonts w:ascii="Times New Roman" w:hAnsi="Times New Roman" w:cs="Times New Roman"/>
          <w:sz w:val="22"/>
          <w:szCs w:val="22"/>
        </w:rPr>
        <w:t>§63.5   Preconstruction review and notification requirements.</w:t>
      </w:r>
    </w:p>
    <w:p w:rsidR="003F210F" w:rsidRPr="004D4C57" w:rsidRDefault="003F210F" w:rsidP="004D4C57">
      <w:pPr>
        <w:pStyle w:val="NormalWeb"/>
        <w:rPr>
          <w:sz w:val="22"/>
          <w:szCs w:val="22"/>
        </w:rPr>
      </w:pPr>
      <w:r w:rsidRPr="004D4C57">
        <w:rPr>
          <w:sz w:val="22"/>
          <w:szCs w:val="22"/>
        </w:rPr>
        <w:t xml:space="preserve">(a) </w:t>
      </w:r>
      <w:r w:rsidRPr="004D4C57">
        <w:rPr>
          <w:i/>
          <w:iCs/>
          <w:sz w:val="22"/>
          <w:szCs w:val="22"/>
        </w:rPr>
        <w:t>Applicability.</w:t>
      </w:r>
      <w:r w:rsidRPr="004D4C57">
        <w:rPr>
          <w:sz w:val="22"/>
          <w:szCs w:val="22"/>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3F210F" w:rsidRPr="004D4C57" w:rsidRDefault="003F210F" w:rsidP="004D4C57">
      <w:pPr>
        <w:pStyle w:val="NormalWeb"/>
        <w:rPr>
          <w:sz w:val="22"/>
          <w:szCs w:val="22"/>
        </w:rPr>
      </w:pPr>
      <w:r w:rsidRPr="004D4C57">
        <w:rPr>
          <w:sz w:val="22"/>
          <w:szCs w:val="22"/>
        </w:rPr>
        <w:lastRenderedPageBreak/>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3F210F" w:rsidRPr="004D4C57" w:rsidRDefault="003F210F" w:rsidP="004D4C57">
      <w:pPr>
        <w:pStyle w:val="NormalWeb"/>
        <w:rPr>
          <w:sz w:val="22"/>
          <w:szCs w:val="22"/>
        </w:rPr>
      </w:pPr>
      <w:r w:rsidRPr="004D4C57">
        <w:rPr>
          <w:sz w:val="22"/>
          <w:szCs w:val="22"/>
        </w:rPr>
        <w:t xml:space="preserve">(b) </w:t>
      </w:r>
      <w:r w:rsidRPr="004D4C57">
        <w:rPr>
          <w:i/>
          <w:iCs/>
          <w:sz w:val="22"/>
          <w:szCs w:val="22"/>
        </w:rPr>
        <w:t>Requirements for existing, newly constructed, and reconstructed sources.</w:t>
      </w:r>
      <w:r w:rsidRPr="004D4C57">
        <w:rPr>
          <w:sz w:val="22"/>
          <w:szCs w:val="22"/>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3F210F" w:rsidRPr="004D4C57" w:rsidRDefault="003F210F" w:rsidP="004D4C57">
      <w:pPr>
        <w:pStyle w:val="NormalWeb"/>
        <w:rPr>
          <w:sz w:val="22"/>
          <w:szCs w:val="22"/>
        </w:rPr>
      </w:pPr>
      <w:r w:rsidRPr="004D4C57">
        <w:rPr>
          <w:sz w:val="22"/>
          <w:szCs w:val="22"/>
        </w:rPr>
        <w:t>(2) [Reserved]</w:t>
      </w:r>
    </w:p>
    <w:p w:rsidR="003F210F" w:rsidRPr="004D4C57" w:rsidRDefault="003F210F" w:rsidP="004D4C57">
      <w:pPr>
        <w:pStyle w:val="NormalWeb"/>
        <w:rPr>
          <w:sz w:val="22"/>
          <w:szCs w:val="22"/>
        </w:rPr>
      </w:pPr>
      <w:r w:rsidRPr="004D4C57">
        <w:rPr>
          <w:sz w:val="22"/>
          <w:szCs w:val="22"/>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3F210F" w:rsidRPr="004D4C57" w:rsidRDefault="003F210F" w:rsidP="004D4C57">
      <w:pPr>
        <w:pStyle w:val="NormalWeb"/>
        <w:rPr>
          <w:sz w:val="22"/>
          <w:szCs w:val="22"/>
        </w:rPr>
      </w:pPr>
      <w:r w:rsidRPr="004D4C57">
        <w:rPr>
          <w:sz w:val="22"/>
          <w:szCs w:val="22"/>
        </w:rPr>
        <w:t xml:space="preserve">(i) Construct a new affected source that is major-emitting and subject to such standard; </w:t>
      </w:r>
    </w:p>
    <w:p w:rsidR="003F210F" w:rsidRPr="004D4C57" w:rsidRDefault="003F210F" w:rsidP="004D4C57">
      <w:pPr>
        <w:pStyle w:val="NormalWeb"/>
        <w:rPr>
          <w:sz w:val="22"/>
          <w:szCs w:val="22"/>
        </w:rPr>
      </w:pPr>
      <w:r w:rsidRPr="004D4C57">
        <w:rPr>
          <w:sz w:val="22"/>
          <w:szCs w:val="22"/>
        </w:rPr>
        <w:t xml:space="preserve">(ii) Reconstruct an affected source that is major-emitting and subject to such standard; or </w:t>
      </w:r>
    </w:p>
    <w:p w:rsidR="003F210F" w:rsidRPr="004D4C57" w:rsidRDefault="003F210F" w:rsidP="004D4C57">
      <w:pPr>
        <w:pStyle w:val="NormalWeb"/>
        <w:rPr>
          <w:sz w:val="22"/>
          <w:szCs w:val="22"/>
        </w:rPr>
      </w:pPr>
      <w:r w:rsidRPr="004D4C57">
        <w:rPr>
          <w:sz w:val="22"/>
          <w:szCs w:val="22"/>
        </w:rPr>
        <w:t xml:space="preserve">(iii) Reconstruct a major source such that the source becomes an affected source that is major-emitting and subject to the standard. </w:t>
      </w:r>
    </w:p>
    <w:p w:rsidR="003F210F" w:rsidRPr="004D4C57" w:rsidRDefault="003F210F" w:rsidP="004D4C57">
      <w:pPr>
        <w:pStyle w:val="NormalWeb"/>
        <w:rPr>
          <w:sz w:val="22"/>
          <w:szCs w:val="22"/>
        </w:rPr>
      </w:pPr>
      <w:r w:rsidRPr="004D4C57">
        <w:rPr>
          <w:sz w:val="22"/>
          <w:szCs w:val="22"/>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3F210F" w:rsidRPr="004D4C57" w:rsidRDefault="003F210F" w:rsidP="004D4C57">
      <w:pPr>
        <w:pStyle w:val="NormalWeb"/>
        <w:rPr>
          <w:sz w:val="22"/>
          <w:szCs w:val="22"/>
        </w:rPr>
      </w:pPr>
      <w:r w:rsidRPr="004D4C57">
        <w:rPr>
          <w:sz w:val="22"/>
          <w:szCs w:val="22"/>
        </w:rPr>
        <w:t>(5) [Reserved]</w:t>
      </w:r>
    </w:p>
    <w:p w:rsidR="003F210F" w:rsidRPr="004D4C57" w:rsidRDefault="003F210F" w:rsidP="004D4C57">
      <w:pPr>
        <w:pStyle w:val="NormalWeb"/>
        <w:rPr>
          <w:sz w:val="22"/>
          <w:szCs w:val="22"/>
        </w:rPr>
      </w:pPr>
      <w:r w:rsidRPr="004D4C57">
        <w:rPr>
          <w:sz w:val="22"/>
          <w:szCs w:val="22"/>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3F210F" w:rsidRPr="004D4C57" w:rsidRDefault="003F210F" w:rsidP="004D4C57">
      <w:pPr>
        <w:pStyle w:val="NormalWeb"/>
        <w:rPr>
          <w:sz w:val="22"/>
          <w:szCs w:val="22"/>
        </w:rPr>
      </w:pPr>
      <w:r w:rsidRPr="004D4C57">
        <w:rPr>
          <w:sz w:val="22"/>
          <w:szCs w:val="22"/>
        </w:rPr>
        <w:t>(c) [Reserved]</w:t>
      </w:r>
    </w:p>
    <w:p w:rsidR="003F210F" w:rsidRPr="004D4C57" w:rsidRDefault="003F210F" w:rsidP="004D4C57">
      <w:pPr>
        <w:pStyle w:val="NormalWeb"/>
        <w:rPr>
          <w:sz w:val="22"/>
          <w:szCs w:val="22"/>
        </w:rPr>
      </w:pPr>
      <w:r w:rsidRPr="004D4C57">
        <w:rPr>
          <w:sz w:val="22"/>
          <w:szCs w:val="22"/>
        </w:rPr>
        <w:t xml:space="preserve">(d) </w:t>
      </w:r>
      <w:r w:rsidRPr="004D4C57">
        <w:rPr>
          <w:i/>
          <w:iCs/>
          <w:sz w:val="22"/>
          <w:szCs w:val="22"/>
        </w:rPr>
        <w:t>Application for approval of construction or reconstruction.</w:t>
      </w:r>
      <w:r w:rsidRPr="004D4C57">
        <w:rPr>
          <w:sz w:val="22"/>
          <w:szCs w:val="22"/>
        </w:rPr>
        <w:t xml:space="preserve"> The provisions of this paragraph implement section 112(i)(1) of the Act.</w:t>
      </w:r>
    </w:p>
    <w:p w:rsidR="003F210F" w:rsidRPr="004D4C57" w:rsidRDefault="003F210F" w:rsidP="004D4C57">
      <w:pPr>
        <w:pStyle w:val="NormalWeb"/>
        <w:rPr>
          <w:sz w:val="22"/>
          <w:szCs w:val="22"/>
        </w:rPr>
      </w:pPr>
      <w:r w:rsidRPr="004D4C57">
        <w:rPr>
          <w:sz w:val="22"/>
          <w:szCs w:val="22"/>
        </w:rPr>
        <w:t xml:space="preserve">(1) </w:t>
      </w:r>
      <w:r w:rsidRPr="004D4C57">
        <w:rPr>
          <w:i/>
          <w:iCs/>
          <w:sz w:val="22"/>
          <w:szCs w:val="22"/>
        </w:rPr>
        <w:t>General application requirements.</w:t>
      </w:r>
      <w:r w:rsidRPr="004D4C57">
        <w:rPr>
          <w:sz w:val="22"/>
          <w:szCs w:val="22"/>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w:t>
      </w:r>
      <w:proofErr w:type="gramStart"/>
      <w:r w:rsidRPr="004D4C57">
        <w:rPr>
          <w:sz w:val="22"/>
          <w:szCs w:val="22"/>
        </w:rPr>
        <w:t>in order to</w:t>
      </w:r>
      <w:proofErr w:type="gramEnd"/>
      <w:r w:rsidRPr="004D4C57">
        <w:rPr>
          <w:sz w:val="22"/>
          <w:szCs w:val="22"/>
        </w:rPr>
        <w:t xml:space="preserve"> ensure a timely review by the Administrator and that the planned date to begin will not be delayed.</w:t>
      </w:r>
    </w:p>
    <w:p w:rsidR="003F210F" w:rsidRPr="004D4C57" w:rsidRDefault="003F210F" w:rsidP="004D4C57">
      <w:pPr>
        <w:pStyle w:val="NormalWeb"/>
        <w:rPr>
          <w:sz w:val="22"/>
          <w:szCs w:val="22"/>
        </w:rPr>
      </w:pPr>
      <w:r w:rsidRPr="004D4C57">
        <w:rPr>
          <w:sz w:val="22"/>
          <w:szCs w:val="22"/>
        </w:rPr>
        <w:lastRenderedPageBreak/>
        <w:t>(ii) A separate application shall be submitted for each construction or reconstruction. Each application for approval of construction or reconstruction shall include at a minimum:</w:t>
      </w:r>
    </w:p>
    <w:p w:rsidR="003F210F" w:rsidRPr="004D4C57" w:rsidRDefault="003F210F" w:rsidP="004D4C57">
      <w:pPr>
        <w:pStyle w:val="NormalWeb"/>
        <w:rPr>
          <w:sz w:val="22"/>
          <w:szCs w:val="22"/>
        </w:rPr>
      </w:pPr>
      <w:r w:rsidRPr="004D4C57">
        <w:rPr>
          <w:sz w:val="22"/>
          <w:szCs w:val="22"/>
        </w:rPr>
        <w:t>(A) The applicant's name and address;</w:t>
      </w:r>
    </w:p>
    <w:p w:rsidR="003F210F" w:rsidRPr="004D4C57" w:rsidRDefault="003F210F" w:rsidP="004D4C57">
      <w:pPr>
        <w:pStyle w:val="NormalWeb"/>
        <w:rPr>
          <w:sz w:val="22"/>
          <w:szCs w:val="22"/>
        </w:rPr>
      </w:pPr>
      <w:r w:rsidRPr="004D4C57">
        <w:rPr>
          <w:sz w:val="22"/>
          <w:szCs w:val="22"/>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3F210F" w:rsidRPr="004D4C57" w:rsidRDefault="003F210F" w:rsidP="004D4C57">
      <w:pPr>
        <w:pStyle w:val="NormalWeb"/>
        <w:rPr>
          <w:sz w:val="22"/>
          <w:szCs w:val="22"/>
        </w:rPr>
      </w:pPr>
      <w:r w:rsidRPr="004D4C57">
        <w:rPr>
          <w:sz w:val="22"/>
          <w:szCs w:val="22"/>
        </w:rPr>
        <w:t>(C) The address (i.e., physical location) or proposed address of the source;</w:t>
      </w:r>
    </w:p>
    <w:p w:rsidR="003F210F" w:rsidRPr="004D4C57" w:rsidRDefault="003F210F" w:rsidP="004D4C57">
      <w:pPr>
        <w:pStyle w:val="NormalWeb"/>
        <w:rPr>
          <w:sz w:val="22"/>
          <w:szCs w:val="22"/>
        </w:rPr>
      </w:pPr>
      <w:r w:rsidRPr="004D4C57">
        <w:rPr>
          <w:sz w:val="22"/>
          <w:szCs w:val="22"/>
        </w:rPr>
        <w:t>(D) An identification of the relevant standard that is the basis of the application;</w:t>
      </w:r>
    </w:p>
    <w:p w:rsidR="003F210F" w:rsidRPr="004D4C57" w:rsidRDefault="003F210F" w:rsidP="004D4C57">
      <w:pPr>
        <w:pStyle w:val="NormalWeb"/>
        <w:rPr>
          <w:sz w:val="22"/>
          <w:szCs w:val="22"/>
        </w:rPr>
      </w:pPr>
      <w:r w:rsidRPr="004D4C57">
        <w:rPr>
          <w:sz w:val="22"/>
          <w:szCs w:val="22"/>
        </w:rPr>
        <w:t>(E) The expected date of the beginning of actual construction or reconstruction;</w:t>
      </w:r>
    </w:p>
    <w:p w:rsidR="003F210F" w:rsidRPr="004D4C57" w:rsidRDefault="003F210F" w:rsidP="004D4C57">
      <w:pPr>
        <w:pStyle w:val="NormalWeb"/>
        <w:rPr>
          <w:sz w:val="22"/>
          <w:szCs w:val="22"/>
        </w:rPr>
      </w:pPr>
      <w:r w:rsidRPr="004D4C57">
        <w:rPr>
          <w:sz w:val="22"/>
          <w:szCs w:val="22"/>
        </w:rPr>
        <w:t>(F) The expected completion date of the construction or reconstruction;</w:t>
      </w:r>
    </w:p>
    <w:p w:rsidR="003F210F" w:rsidRPr="004D4C57" w:rsidRDefault="003F210F" w:rsidP="004D4C57">
      <w:pPr>
        <w:pStyle w:val="NormalWeb"/>
        <w:rPr>
          <w:sz w:val="22"/>
          <w:szCs w:val="22"/>
        </w:rPr>
      </w:pPr>
      <w:r w:rsidRPr="004D4C57">
        <w:rPr>
          <w:sz w:val="22"/>
          <w:szCs w:val="22"/>
        </w:rPr>
        <w:t>(G) [Reserved]</w:t>
      </w:r>
    </w:p>
    <w:p w:rsidR="003F210F" w:rsidRPr="004D4C57" w:rsidRDefault="003F210F" w:rsidP="004D4C57">
      <w:pPr>
        <w:pStyle w:val="NormalWeb"/>
        <w:rPr>
          <w:sz w:val="22"/>
          <w:szCs w:val="22"/>
        </w:rPr>
      </w:pPr>
      <w:r w:rsidRPr="004D4C57">
        <w:rPr>
          <w:sz w:val="22"/>
          <w:szCs w:val="22"/>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3F210F" w:rsidRPr="004D4C57" w:rsidRDefault="003F210F" w:rsidP="004D4C57">
      <w:pPr>
        <w:pStyle w:val="NormalWeb"/>
        <w:rPr>
          <w:sz w:val="22"/>
          <w:szCs w:val="22"/>
        </w:rPr>
      </w:pPr>
      <w:r w:rsidRPr="004D4C57">
        <w:rPr>
          <w:sz w:val="22"/>
          <w:szCs w:val="22"/>
        </w:rPr>
        <w:t>(I) [Reserved]</w:t>
      </w:r>
    </w:p>
    <w:p w:rsidR="003F210F" w:rsidRPr="004D4C57" w:rsidRDefault="003F210F" w:rsidP="004D4C57">
      <w:pPr>
        <w:pStyle w:val="NormalWeb"/>
        <w:rPr>
          <w:sz w:val="22"/>
          <w:szCs w:val="22"/>
        </w:rPr>
      </w:pPr>
      <w:r w:rsidRPr="004D4C57">
        <w:rPr>
          <w:sz w:val="22"/>
          <w:szCs w:val="22"/>
        </w:rPr>
        <w:t>(J) Other information as specified in paragraphs (d)(2) and (d)(3) of this section.</w:t>
      </w:r>
    </w:p>
    <w:p w:rsidR="003F210F" w:rsidRPr="004D4C57" w:rsidRDefault="003F210F" w:rsidP="004D4C57">
      <w:pPr>
        <w:pStyle w:val="NormalWeb"/>
        <w:rPr>
          <w:sz w:val="22"/>
          <w:szCs w:val="22"/>
        </w:rPr>
      </w:pPr>
      <w:r w:rsidRPr="004D4C57">
        <w:rPr>
          <w:sz w:val="22"/>
          <w:szCs w:val="22"/>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3F210F" w:rsidRPr="004D4C57" w:rsidRDefault="003F210F" w:rsidP="004D4C57">
      <w:pPr>
        <w:pStyle w:val="NormalWeb"/>
        <w:rPr>
          <w:sz w:val="22"/>
          <w:szCs w:val="22"/>
        </w:rPr>
      </w:pPr>
      <w:r w:rsidRPr="004D4C57">
        <w:rPr>
          <w:sz w:val="22"/>
          <w:szCs w:val="22"/>
        </w:rPr>
        <w:t xml:space="preserve">(2) </w:t>
      </w:r>
      <w:r w:rsidRPr="004D4C57">
        <w:rPr>
          <w:i/>
          <w:iCs/>
          <w:sz w:val="22"/>
          <w:szCs w:val="22"/>
        </w:rPr>
        <w:t>Application for approval of construction.</w:t>
      </w:r>
      <w:r w:rsidRPr="004D4C57">
        <w:rPr>
          <w:sz w:val="22"/>
          <w:szCs w:val="22"/>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3F210F" w:rsidRPr="004D4C57" w:rsidRDefault="003F210F" w:rsidP="004D4C57">
      <w:pPr>
        <w:pStyle w:val="NormalWeb"/>
        <w:rPr>
          <w:sz w:val="22"/>
          <w:szCs w:val="22"/>
        </w:rPr>
      </w:pPr>
      <w:r w:rsidRPr="004D4C57">
        <w:rPr>
          <w:sz w:val="22"/>
          <w:szCs w:val="22"/>
        </w:rPr>
        <w:t xml:space="preserve">(3) </w:t>
      </w:r>
      <w:r w:rsidRPr="004D4C57">
        <w:rPr>
          <w:i/>
          <w:iCs/>
          <w:sz w:val="22"/>
          <w:szCs w:val="22"/>
        </w:rPr>
        <w:t>Application for approval of reconstruction.</w:t>
      </w:r>
      <w:r w:rsidRPr="004D4C57">
        <w:rPr>
          <w:sz w:val="22"/>
          <w:szCs w:val="22"/>
        </w:rPr>
        <w:t xml:space="preserve"> Each application for approval of reconstruction shall include, in addition to the information required in paragraph (d)(1)(ii) of this section—</w:t>
      </w:r>
    </w:p>
    <w:p w:rsidR="003F210F" w:rsidRPr="004D4C57" w:rsidRDefault="003F210F" w:rsidP="004D4C57">
      <w:pPr>
        <w:pStyle w:val="NormalWeb"/>
        <w:rPr>
          <w:sz w:val="22"/>
          <w:szCs w:val="22"/>
        </w:rPr>
      </w:pPr>
      <w:r w:rsidRPr="004D4C57">
        <w:rPr>
          <w:sz w:val="22"/>
          <w:szCs w:val="22"/>
        </w:rPr>
        <w:lastRenderedPageBreak/>
        <w:t xml:space="preserve">(i) A brief description of the affected source and the components that are to be replaced; </w:t>
      </w:r>
    </w:p>
    <w:p w:rsidR="003F210F" w:rsidRPr="004D4C57" w:rsidRDefault="003F210F" w:rsidP="004D4C57">
      <w:pPr>
        <w:pStyle w:val="NormalWeb"/>
        <w:rPr>
          <w:sz w:val="22"/>
          <w:szCs w:val="22"/>
        </w:rPr>
      </w:pPr>
      <w:r w:rsidRPr="004D4C57">
        <w:rPr>
          <w:sz w:val="22"/>
          <w:szCs w:val="22"/>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3F210F" w:rsidRPr="004D4C57" w:rsidRDefault="003F210F" w:rsidP="004D4C57">
      <w:pPr>
        <w:pStyle w:val="NormalWeb"/>
        <w:rPr>
          <w:sz w:val="22"/>
          <w:szCs w:val="22"/>
        </w:rPr>
      </w:pPr>
      <w:r w:rsidRPr="004D4C57">
        <w:rPr>
          <w:sz w:val="22"/>
          <w:szCs w:val="22"/>
        </w:rPr>
        <w:t xml:space="preserve">(iii) An estimate of the fixed capital cost of the replacements and of constructing a comparable entirely new source; </w:t>
      </w:r>
    </w:p>
    <w:p w:rsidR="003F210F" w:rsidRPr="004D4C57" w:rsidRDefault="003F210F" w:rsidP="004D4C57">
      <w:pPr>
        <w:pStyle w:val="NormalWeb"/>
        <w:rPr>
          <w:sz w:val="22"/>
          <w:szCs w:val="22"/>
        </w:rPr>
      </w:pPr>
      <w:r w:rsidRPr="004D4C57">
        <w:rPr>
          <w:sz w:val="22"/>
          <w:szCs w:val="22"/>
        </w:rPr>
        <w:t xml:space="preserve">(iv) The estimated life of the affected source after the replacements; and </w:t>
      </w:r>
    </w:p>
    <w:p w:rsidR="003F210F" w:rsidRPr="004D4C57" w:rsidRDefault="003F210F" w:rsidP="004D4C57">
      <w:pPr>
        <w:pStyle w:val="NormalWeb"/>
        <w:rPr>
          <w:sz w:val="22"/>
          <w:szCs w:val="22"/>
        </w:rPr>
      </w:pPr>
      <w:r w:rsidRPr="004D4C57">
        <w:rPr>
          <w:sz w:val="22"/>
          <w:szCs w:val="22"/>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3F210F" w:rsidRPr="004D4C57" w:rsidRDefault="003F210F" w:rsidP="004D4C57">
      <w:pPr>
        <w:pStyle w:val="NormalWeb"/>
        <w:rPr>
          <w:sz w:val="22"/>
          <w:szCs w:val="22"/>
        </w:rPr>
      </w:pPr>
      <w:r w:rsidRPr="004D4C57">
        <w:rPr>
          <w:sz w:val="22"/>
          <w:szCs w:val="22"/>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3F210F" w:rsidRPr="004D4C57" w:rsidRDefault="003F210F" w:rsidP="004D4C57">
      <w:pPr>
        <w:pStyle w:val="NormalWeb"/>
        <w:rPr>
          <w:sz w:val="22"/>
          <w:szCs w:val="22"/>
        </w:rPr>
      </w:pPr>
      <w:r w:rsidRPr="004D4C57">
        <w:rPr>
          <w:sz w:val="22"/>
          <w:szCs w:val="22"/>
        </w:rPr>
        <w:t xml:space="preserve">(4) </w:t>
      </w:r>
      <w:r w:rsidRPr="004D4C57">
        <w:rPr>
          <w:i/>
          <w:iCs/>
          <w:sz w:val="22"/>
          <w:szCs w:val="22"/>
        </w:rPr>
        <w:t>Additional information.</w:t>
      </w:r>
      <w:r w:rsidRPr="004D4C57">
        <w:rPr>
          <w:sz w:val="22"/>
          <w:szCs w:val="22"/>
        </w:rPr>
        <w:t xml:space="preserve"> The Administrator may request additional relevant information after the submittal of an application for approval of construction or reconstruction. </w:t>
      </w:r>
    </w:p>
    <w:p w:rsidR="003F210F" w:rsidRPr="004D4C57" w:rsidRDefault="003F210F" w:rsidP="004D4C57">
      <w:pPr>
        <w:pStyle w:val="NormalWeb"/>
        <w:rPr>
          <w:sz w:val="22"/>
          <w:szCs w:val="22"/>
        </w:rPr>
      </w:pPr>
      <w:r w:rsidRPr="004D4C57">
        <w:rPr>
          <w:sz w:val="22"/>
          <w:szCs w:val="22"/>
        </w:rPr>
        <w:t xml:space="preserve">(e) </w:t>
      </w:r>
      <w:r w:rsidRPr="004D4C57">
        <w:rPr>
          <w:i/>
          <w:iCs/>
          <w:sz w:val="22"/>
          <w:szCs w:val="22"/>
        </w:rPr>
        <w:t>Approval of construction or reconstruction.</w:t>
      </w:r>
      <w:r w:rsidRPr="004D4C57">
        <w:rPr>
          <w:sz w:val="22"/>
          <w:szCs w:val="22"/>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3F210F" w:rsidRPr="004D4C57" w:rsidRDefault="003F210F" w:rsidP="004D4C57">
      <w:pPr>
        <w:pStyle w:val="NormalWeb"/>
        <w:rPr>
          <w:sz w:val="22"/>
          <w:szCs w:val="22"/>
        </w:rPr>
      </w:pPr>
      <w:r w:rsidRPr="004D4C57">
        <w:rPr>
          <w:sz w:val="22"/>
          <w:szCs w:val="22"/>
        </w:rPr>
        <w:t xml:space="preserve">(ii) In addition, in the case of reconstruction, the Administrator's determination under this paragraph will be based on: </w:t>
      </w:r>
    </w:p>
    <w:p w:rsidR="003F210F" w:rsidRPr="004D4C57" w:rsidRDefault="003F210F" w:rsidP="004D4C57">
      <w:pPr>
        <w:pStyle w:val="NormalWeb"/>
        <w:rPr>
          <w:sz w:val="22"/>
          <w:szCs w:val="22"/>
        </w:rPr>
      </w:pPr>
      <w:r w:rsidRPr="004D4C57">
        <w:rPr>
          <w:sz w:val="22"/>
          <w:szCs w:val="22"/>
        </w:rPr>
        <w:t xml:space="preserve">(A) The fixed capital cost of the replacements in comparison to the fixed capital cost that would be required to construct a comparable entirely new source; </w:t>
      </w:r>
    </w:p>
    <w:p w:rsidR="003F210F" w:rsidRPr="004D4C57" w:rsidRDefault="003F210F" w:rsidP="004D4C57">
      <w:pPr>
        <w:pStyle w:val="NormalWeb"/>
        <w:rPr>
          <w:sz w:val="22"/>
          <w:szCs w:val="22"/>
        </w:rPr>
      </w:pPr>
      <w:r w:rsidRPr="004D4C57">
        <w:rPr>
          <w:sz w:val="22"/>
          <w:szCs w:val="22"/>
        </w:rPr>
        <w:t xml:space="preserve">(B) The estimated life of the source after the replacements compared to the life of a comparable entirely new source; </w:t>
      </w:r>
    </w:p>
    <w:p w:rsidR="003F210F" w:rsidRPr="004D4C57" w:rsidRDefault="003F210F" w:rsidP="004D4C57">
      <w:pPr>
        <w:pStyle w:val="NormalWeb"/>
        <w:rPr>
          <w:sz w:val="22"/>
          <w:szCs w:val="22"/>
        </w:rPr>
      </w:pPr>
      <w:r w:rsidRPr="004D4C57">
        <w:rPr>
          <w:sz w:val="22"/>
          <w:szCs w:val="22"/>
        </w:rPr>
        <w:t xml:space="preserve">(C) The extent to which the components being replaced cause or contribute to the emissions from the source; and </w:t>
      </w:r>
    </w:p>
    <w:p w:rsidR="003F210F" w:rsidRPr="004D4C57" w:rsidRDefault="003F210F" w:rsidP="004D4C57">
      <w:pPr>
        <w:pStyle w:val="NormalWeb"/>
        <w:rPr>
          <w:sz w:val="22"/>
          <w:szCs w:val="22"/>
        </w:rPr>
      </w:pPr>
      <w:r w:rsidRPr="004D4C57">
        <w:rPr>
          <w:sz w:val="22"/>
          <w:szCs w:val="22"/>
        </w:rPr>
        <w:t xml:space="preserve">(D) Any economic or technical limitations on compliance with relevant standards that are inherent in the proposed replacements. </w:t>
      </w:r>
    </w:p>
    <w:p w:rsidR="003F210F" w:rsidRPr="004D4C57" w:rsidRDefault="003F210F" w:rsidP="004D4C57">
      <w:pPr>
        <w:pStyle w:val="NormalWeb"/>
        <w:rPr>
          <w:sz w:val="22"/>
          <w:szCs w:val="22"/>
        </w:rPr>
      </w:pPr>
      <w:r w:rsidRPr="004D4C57">
        <w:rPr>
          <w:sz w:val="22"/>
          <w:szCs w:val="22"/>
        </w:rPr>
        <w:t xml:space="preserve">(2)(i) The Administrator will notify the owner or operator in writing of approval or intention to deny approval of construction or reconstruction within 60 calendar days after receipt of sufficient information to </w:t>
      </w:r>
      <w:r w:rsidRPr="004D4C57">
        <w:rPr>
          <w:sz w:val="22"/>
          <w:szCs w:val="22"/>
        </w:rPr>
        <w:lastRenderedPageBreak/>
        <w:t xml:space="preserve">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w:t>
      </w:r>
      <w:proofErr w:type="gramStart"/>
      <w:r w:rsidRPr="004D4C57">
        <w:rPr>
          <w:sz w:val="22"/>
          <w:szCs w:val="22"/>
        </w:rPr>
        <w:t>make a determination</w:t>
      </w:r>
      <w:proofErr w:type="gramEnd"/>
      <w:r w:rsidRPr="004D4C57">
        <w:rPr>
          <w:sz w:val="22"/>
          <w:szCs w:val="22"/>
        </w:rPr>
        <w:t xml:space="preserve">, within 30 calendar days after receipt of the original application and within 30 calendar days after receipt of any supplementary information that is submitted. </w:t>
      </w:r>
    </w:p>
    <w:p w:rsidR="003F210F" w:rsidRPr="004D4C57" w:rsidRDefault="003F210F" w:rsidP="004D4C57">
      <w:pPr>
        <w:pStyle w:val="NormalWeb"/>
        <w:rPr>
          <w:sz w:val="22"/>
          <w:szCs w:val="22"/>
        </w:rPr>
      </w:pPr>
      <w:r w:rsidRPr="004D4C57">
        <w:rPr>
          <w:sz w:val="22"/>
          <w:szCs w:val="22"/>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3F210F" w:rsidRPr="004D4C57" w:rsidRDefault="003F210F" w:rsidP="004D4C57">
      <w:pPr>
        <w:pStyle w:val="NormalWeb"/>
        <w:rPr>
          <w:sz w:val="22"/>
          <w:szCs w:val="22"/>
        </w:rPr>
      </w:pPr>
      <w:r w:rsidRPr="004D4C57">
        <w:rPr>
          <w:sz w:val="22"/>
          <w:szCs w:val="22"/>
        </w:rPr>
        <w:t>(3) Before denying any application for approval of construction or reconstruction, the Administrator will notify the applicant of the Administrator's intention to issue the denial together with—</w:t>
      </w:r>
    </w:p>
    <w:p w:rsidR="003F210F" w:rsidRPr="004D4C57" w:rsidRDefault="003F210F" w:rsidP="004D4C57">
      <w:pPr>
        <w:pStyle w:val="NormalWeb"/>
        <w:rPr>
          <w:sz w:val="22"/>
          <w:szCs w:val="22"/>
        </w:rPr>
      </w:pPr>
      <w:r w:rsidRPr="004D4C57">
        <w:rPr>
          <w:sz w:val="22"/>
          <w:szCs w:val="22"/>
        </w:rPr>
        <w:t xml:space="preserve">(i) Notice of the information and findings on which the intended denial is based; and </w:t>
      </w:r>
    </w:p>
    <w:p w:rsidR="003F210F" w:rsidRPr="004D4C57" w:rsidRDefault="003F210F" w:rsidP="004D4C57">
      <w:pPr>
        <w:pStyle w:val="NormalWeb"/>
        <w:rPr>
          <w:sz w:val="22"/>
          <w:szCs w:val="22"/>
        </w:rPr>
      </w:pPr>
      <w:r w:rsidRPr="004D4C57">
        <w:rPr>
          <w:sz w:val="22"/>
          <w:szCs w:val="22"/>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3F210F" w:rsidRPr="004D4C57" w:rsidRDefault="003F210F" w:rsidP="004D4C57">
      <w:pPr>
        <w:pStyle w:val="NormalWeb"/>
        <w:rPr>
          <w:sz w:val="22"/>
          <w:szCs w:val="22"/>
        </w:rPr>
      </w:pPr>
      <w:r w:rsidRPr="004D4C57">
        <w:rPr>
          <w:sz w:val="22"/>
          <w:szCs w:val="22"/>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3F210F" w:rsidRPr="004D4C57" w:rsidRDefault="003F210F" w:rsidP="004D4C57">
      <w:pPr>
        <w:pStyle w:val="NormalWeb"/>
        <w:rPr>
          <w:sz w:val="22"/>
          <w:szCs w:val="22"/>
        </w:rPr>
      </w:pPr>
      <w:r w:rsidRPr="004D4C57">
        <w:rPr>
          <w:sz w:val="22"/>
          <w:szCs w:val="22"/>
        </w:rPr>
        <w:t>(5) Neither the submission of an application for approval nor the Administrator's approval of construction or reconstruction shall—</w:t>
      </w:r>
    </w:p>
    <w:p w:rsidR="003F210F" w:rsidRPr="004D4C57" w:rsidRDefault="003F210F" w:rsidP="004D4C57">
      <w:pPr>
        <w:pStyle w:val="NormalWeb"/>
        <w:rPr>
          <w:sz w:val="22"/>
          <w:szCs w:val="22"/>
        </w:rPr>
      </w:pPr>
      <w:r w:rsidRPr="004D4C57">
        <w:rPr>
          <w:sz w:val="22"/>
          <w:szCs w:val="22"/>
        </w:rPr>
        <w:t xml:space="preserve">(i) Relieve an owner or operator of legal responsibility for compliance with any applicable provisions of this part or with any other applicable Federal, State, or local requirement; or </w:t>
      </w:r>
    </w:p>
    <w:p w:rsidR="003F210F" w:rsidRPr="004D4C57" w:rsidRDefault="003F210F" w:rsidP="004D4C57">
      <w:pPr>
        <w:pStyle w:val="NormalWeb"/>
        <w:rPr>
          <w:sz w:val="22"/>
          <w:szCs w:val="22"/>
        </w:rPr>
      </w:pPr>
      <w:r w:rsidRPr="004D4C57">
        <w:rPr>
          <w:sz w:val="22"/>
          <w:szCs w:val="22"/>
        </w:rPr>
        <w:t xml:space="preserve">(ii) Prevent the Administrator from implementing or enforcing this part or taking any other action under the Act. </w:t>
      </w:r>
    </w:p>
    <w:p w:rsidR="003F210F" w:rsidRPr="004D4C57" w:rsidRDefault="003F210F" w:rsidP="004D4C57">
      <w:pPr>
        <w:pStyle w:val="NormalWeb"/>
        <w:rPr>
          <w:sz w:val="22"/>
          <w:szCs w:val="22"/>
        </w:rPr>
      </w:pPr>
      <w:r w:rsidRPr="004D4C57">
        <w:rPr>
          <w:sz w:val="22"/>
          <w:szCs w:val="22"/>
        </w:rPr>
        <w:t xml:space="preserve">(f) </w:t>
      </w:r>
      <w:r w:rsidRPr="004D4C57">
        <w:rPr>
          <w:i/>
          <w:iCs/>
          <w:sz w:val="22"/>
          <w:szCs w:val="22"/>
        </w:rPr>
        <w:t>Approval of construction or reconstruction based on prior State preconstruction review.</w:t>
      </w:r>
      <w:r w:rsidRPr="004D4C57">
        <w:rPr>
          <w:sz w:val="22"/>
          <w:szCs w:val="22"/>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3F210F" w:rsidRPr="004D4C57" w:rsidRDefault="003F210F" w:rsidP="004D4C57">
      <w:pPr>
        <w:pStyle w:val="NormalWeb"/>
        <w:rPr>
          <w:sz w:val="22"/>
          <w:szCs w:val="22"/>
        </w:rPr>
      </w:pPr>
      <w:r w:rsidRPr="004D4C57">
        <w:rPr>
          <w:sz w:val="22"/>
          <w:szCs w:val="22"/>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3F210F" w:rsidRPr="004D4C57" w:rsidRDefault="003F210F" w:rsidP="004D4C57">
      <w:pPr>
        <w:pStyle w:val="NormalWeb"/>
        <w:rPr>
          <w:sz w:val="22"/>
          <w:szCs w:val="22"/>
        </w:rPr>
      </w:pPr>
      <w:r w:rsidRPr="004D4C57">
        <w:rPr>
          <w:sz w:val="22"/>
          <w:szCs w:val="22"/>
        </w:rPr>
        <w:t xml:space="preserve">(ii) Provide a statement from the State or other evidence (such as State regulations) that it considered the factors specified in paragraph (e)(1) of this section. </w:t>
      </w:r>
    </w:p>
    <w:p w:rsidR="003F210F" w:rsidRPr="004D4C57" w:rsidRDefault="003F210F" w:rsidP="004D4C57">
      <w:pPr>
        <w:pStyle w:val="NormalWeb"/>
        <w:rPr>
          <w:sz w:val="22"/>
          <w:szCs w:val="22"/>
        </w:rPr>
      </w:pPr>
      <w:r w:rsidRPr="004D4C57">
        <w:rPr>
          <w:sz w:val="22"/>
          <w:szCs w:val="22"/>
        </w:rPr>
        <w:lastRenderedPageBreak/>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3F210F" w:rsidRPr="004D4C57" w:rsidRDefault="003F210F" w:rsidP="004D4C57">
      <w:pPr>
        <w:pStyle w:val="cita"/>
        <w:rPr>
          <w:sz w:val="22"/>
          <w:szCs w:val="22"/>
        </w:rPr>
      </w:pPr>
      <w:r w:rsidRPr="004D4C57">
        <w:rPr>
          <w:sz w:val="22"/>
          <w:szCs w:val="22"/>
        </w:rPr>
        <w:t>[59 FR 12430, Mar. 16, 1994, as amended at 67 FR 16598, Apr. 5, 2002]</w:t>
      </w:r>
    </w:p>
    <w:p w:rsidR="003F210F" w:rsidRPr="004D4C57" w:rsidRDefault="003F210F" w:rsidP="004D4C57">
      <w:pPr>
        <w:pStyle w:val="Heading2"/>
        <w:rPr>
          <w:rFonts w:ascii="Times New Roman" w:hAnsi="Times New Roman" w:cs="Times New Roman"/>
          <w:sz w:val="22"/>
          <w:szCs w:val="22"/>
        </w:rPr>
      </w:pPr>
      <w:bookmarkStart w:id="12" w:name="se40.11.63_16"/>
      <w:bookmarkEnd w:id="12"/>
      <w:r w:rsidRPr="004D4C57">
        <w:rPr>
          <w:rFonts w:ascii="Times New Roman" w:hAnsi="Times New Roman" w:cs="Times New Roman"/>
          <w:sz w:val="22"/>
          <w:szCs w:val="22"/>
        </w:rPr>
        <w:t>§63.6   Compliance with standards and maintenance requirements.</w:t>
      </w:r>
    </w:p>
    <w:p w:rsidR="003F210F" w:rsidRPr="004D4C57" w:rsidRDefault="003F210F" w:rsidP="004D4C57">
      <w:pPr>
        <w:pStyle w:val="NormalWeb"/>
        <w:rPr>
          <w:sz w:val="22"/>
          <w:szCs w:val="22"/>
        </w:rPr>
      </w:pPr>
      <w:r w:rsidRPr="004D4C57">
        <w:rPr>
          <w:sz w:val="22"/>
          <w:szCs w:val="22"/>
        </w:rPr>
        <w:t xml:space="preserve">(a) </w:t>
      </w:r>
      <w:r w:rsidRPr="004D4C57">
        <w:rPr>
          <w:i/>
          <w:iCs/>
          <w:sz w:val="22"/>
          <w:szCs w:val="22"/>
        </w:rPr>
        <w:t>Applicability.</w:t>
      </w:r>
      <w:r w:rsidRPr="004D4C57">
        <w:rPr>
          <w:sz w:val="22"/>
          <w:szCs w:val="22"/>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3F210F" w:rsidRPr="004D4C57" w:rsidRDefault="003F210F" w:rsidP="004D4C57">
      <w:pPr>
        <w:pStyle w:val="NormalWeb"/>
        <w:rPr>
          <w:sz w:val="22"/>
          <w:szCs w:val="22"/>
        </w:rPr>
      </w:pPr>
      <w:r w:rsidRPr="004D4C57">
        <w:rPr>
          <w:sz w:val="22"/>
          <w:szCs w:val="22"/>
        </w:rPr>
        <w:t>(i) The Administrator (or a State with an approved permit program) has granted an extension of compliance consistent with paragraph (i) of this section; or</w:t>
      </w:r>
    </w:p>
    <w:p w:rsidR="003F210F" w:rsidRPr="004D4C57" w:rsidRDefault="003F210F" w:rsidP="004D4C57">
      <w:pPr>
        <w:pStyle w:val="NormalWeb"/>
        <w:rPr>
          <w:sz w:val="22"/>
          <w:szCs w:val="22"/>
        </w:rPr>
      </w:pPr>
      <w:r w:rsidRPr="004D4C57">
        <w:rPr>
          <w:sz w:val="22"/>
          <w:szCs w:val="22"/>
        </w:rPr>
        <w:t xml:space="preserve">(ii) The President has granted an exemption from compliance with any relevant standard in accordance with section 112(i)(4) of the Act. </w:t>
      </w:r>
    </w:p>
    <w:p w:rsidR="003F210F" w:rsidRPr="004D4C57" w:rsidRDefault="003F210F" w:rsidP="004D4C57">
      <w:pPr>
        <w:pStyle w:val="NormalWeb"/>
        <w:rPr>
          <w:sz w:val="22"/>
          <w:szCs w:val="22"/>
        </w:rPr>
      </w:pPr>
      <w:r w:rsidRPr="004D4C57">
        <w:rPr>
          <w:sz w:val="22"/>
          <w:szCs w:val="22"/>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3F210F" w:rsidRPr="004D4C57" w:rsidRDefault="003F210F" w:rsidP="004D4C57">
      <w:pPr>
        <w:pStyle w:val="NormalWeb"/>
        <w:rPr>
          <w:sz w:val="22"/>
          <w:szCs w:val="22"/>
        </w:rPr>
      </w:pPr>
      <w:r w:rsidRPr="004D4C57">
        <w:rPr>
          <w:sz w:val="22"/>
          <w:szCs w:val="22"/>
        </w:rPr>
        <w:t xml:space="preserve">(b) </w:t>
      </w:r>
      <w:r w:rsidRPr="004D4C57">
        <w:rPr>
          <w:i/>
          <w:iCs/>
          <w:sz w:val="22"/>
          <w:szCs w:val="22"/>
        </w:rPr>
        <w:t>Compliance dates for new and reconstructed sources.</w:t>
      </w:r>
      <w:r w:rsidRPr="004D4C57">
        <w:rPr>
          <w:sz w:val="22"/>
          <w:szCs w:val="22"/>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3F210F" w:rsidRPr="004D4C57" w:rsidRDefault="003F210F" w:rsidP="004D4C57">
      <w:pPr>
        <w:pStyle w:val="NormalWeb"/>
        <w:rPr>
          <w:sz w:val="22"/>
          <w:szCs w:val="22"/>
        </w:rPr>
      </w:pPr>
      <w:r w:rsidRPr="004D4C57">
        <w:rPr>
          <w:sz w:val="22"/>
          <w:szCs w:val="22"/>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3F210F" w:rsidRPr="004D4C57" w:rsidRDefault="003F210F" w:rsidP="004D4C57">
      <w:pPr>
        <w:pStyle w:val="NormalWeb"/>
        <w:rPr>
          <w:sz w:val="22"/>
          <w:szCs w:val="22"/>
        </w:rPr>
      </w:pPr>
      <w:r w:rsidRPr="004D4C57">
        <w:rPr>
          <w:sz w:val="22"/>
          <w:szCs w:val="22"/>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3F210F" w:rsidRPr="004D4C57" w:rsidRDefault="003F210F" w:rsidP="004D4C57">
      <w:pPr>
        <w:pStyle w:val="NormalWeb"/>
        <w:rPr>
          <w:sz w:val="22"/>
          <w:szCs w:val="22"/>
        </w:rPr>
      </w:pPr>
      <w:r w:rsidRPr="004D4C57">
        <w:rPr>
          <w:sz w:val="22"/>
          <w:szCs w:val="22"/>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3F210F" w:rsidRPr="004D4C57" w:rsidRDefault="003F210F" w:rsidP="004D4C57">
      <w:pPr>
        <w:pStyle w:val="NormalWeb"/>
        <w:rPr>
          <w:sz w:val="22"/>
          <w:szCs w:val="22"/>
        </w:rPr>
      </w:pPr>
      <w:r w:rsidRPr="004D4C57">
        <w:rPr>
          <w:sz w:val="22"/>
          <w:szCs w:val="22"/>
        </w:rPr>
        <w:lastRenderedPageBreak/>
        <w:t xml:space="preserve">(ii) The owner or operator complies with the standard as proposed during the 3-year period immediately after the effective date. </w:t>
      </w:r>
    </w:p>
    <w:p w:rsidR="003F210F" w:rsidRPr="004D4C57" w:rsidRDefault="003F210F" w:rsidP="004D4C57">
      <w:pPr>
        <w:pStyle w:val="NormalWeb"/>
        <w:rPr>
          <w:sz w:val="22"/>
          <w:szCs w:val="22"/>
        </w:rPr>
      </w:pPr>
      <w:r w:rsidRPr="004D4C57">
        <w:rPr>
          <w:sz w:val="22"/>
          <w:szCs w:val="22"/>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3F210F" w:rsidRPr="004D4C57" w:rsidRDefault="003F210F" w:rsidP="004D4C57">
      <w:pPr>
        <w:pStyle w:val="NormalWeb"/>
        <w:rPr>
          <w:sz w:val="22"/>
          <w:szCs w:val="22"/>
        </w:rPr>
      </w:pPr>
      <w:r w:rsidRPr="004D4C57">
        <w:rPr>
          <w:sz w:val="22"/>
          <w:szCs w:val="22"/>
        </w:rPr>
        <w:t>(5) The owner or operator of a new source that is subject to the compliance requirements of paragraph (b)(3) or (4) of this section must notify the Administrator in accordance with §63.9(d)</w:t>
      </w:r>
    </w:p>
    <w:p w:rsidR="003F210F" w:rsidRPr="004D4C57" w:rsidRDefault="003F210F" w:rsidP="004D4C57">
      <w:pPr>
        <w:pStyle w:val="NormalWeb"/>
        <w:rPr>
          <w:sz w:val="22"/>
          <w:szCs w:val="22"/>
        </w:rPr>
      </w:pPr>
      <w:r w:rsidRPr="004D4C57">
        <w:rPr>
          <w:sz w:val="22"/>
          <w:szCs w:val="22"/>
        </w:rPr>
        <w:t xml:space="preserve">(6) [Reserved] </w:t>
      </w:r>
    </w:p>
    <w:p w:rsidR="003F210F" w:rsidRPr="004D4C57" w:rsidRDefault="003F210F" w:rsidP="004D4C57">
      <w:pPr>
        <w:pStyle w:val="NormalWeb"/>
        <w:rPr>
          <w:sz w:val="22"/>
          <w:szCs w:val="22"/>
        </w:rPr>
      </w:pPr>
      <w:r w:rsidRPr="004D4C57">
        <w:rPr>
          <w:sz w:val="22"/>
          <w:szCs w:val="22"/>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3F210F" w:rsidRPr="004D4C57" w:rsidRDefault="003F210F" w:rsidP="004D4C57">
      <w:pPr>
        <w:pStyle w:val="NormalWeb"/>
        <w:rPr>
          <w:sz w:val="22"/>
          <w:szCs w:val="22"/>
        </w:rPr>
      </w:pPr>
      <w:r w:rsidRPr="004D4C57">
        <w:rPr>
          <w:sz w:val="22"/>
          <w:szCs w:val="22"/>
        </w:rPr>
        <w:t xml:space="preserve">(c) </w:t>
      </w:r>
      <w:r w:rsidRPr="004D4C57">
        <w:rPr>
          <w:i/>
          <w:iCs/>
          <w:sz w:val="22"/>
          <w:szCs w:val="22"/>
        </w:rPr>
        <w:t>Compliance dates for existing sources.</w:t>
      </w:r>
      <w:r w:rsidRPr="004D4C57">
        <w:rPr>
          <w:sz w:val="22"/>
          <w:szCs w:val="22"/>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3F210F" w:rsidRPr="004D4C57" w:rsidRDefault="003F210F" w:rsidP="004D4C57">
      <w:pPr>
        <w:pStyle w:val="NormalWeb"/>
        <w:rPr>
          <w:sz w:val="22"/>
          <w:szCs w:val="22"/>
        </w:rPr>
      </w:pPr>
      <w:r w:rsidRPr="004D4C57">
        <w:rPr>
          <w:sz w:val="22"/>
          <w:szCs w:val="22"/>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3F210F" w:rsidRPr="004D4C57" w:rsidRDefault="003F210F" w:rsidP="004D4C57">
      <w:pPr>
        <w:pStyle w:val="NormalWeb"/>
        <w:rPr>
          <w:sz w:val="22"/>
          <w:szCs w:val="22"/>
        </w:rPr>
      </w:pPr>
      <w:r w:rsidRPr="004D4C57">
        <w:rPr>
          <w:sz w:val="22"/>
          <w:szCs w:val="22"/>
        </w:rPr>
        <w:t>(</w:t>
      </w:r>
      <w:proofErr w:type="gramStart"/>
      <w:r w:rsidRPr="004D4C57">
        <w:rPr>
          <w:sz w:val="22"/>
          <w:szCs w:val="22"/>
        </w:rPr>
        <w:t>3)-(</w:t>
      </w:r>
      <w:proofErr w:type="gramEnd"/>
      <w:r w:rsidRPr="004D4C57">
        <w:rPr>
          <w:sz w:val="22"/>
          <w:szCs w:val="22"/>
        </w:rPr>
        <w:t xml:space="preserve">4) [Reserved] </w:t>
      </w:r>
    </w:p>
    <w:p w:rsidR="003F210F" w:rsidRPr="004D4C57" w:rsidRDefault="003F210F" w:rsidP="004D4C57">
      <w:pPr>
        <w:pStyle w:val="NormalWeb"/>
        <w:rPr>
          <w:sz w:val="22"/>
          <w:szCs w:val="22"/>
        </w:rPr>
      </w:pPr>
      <w:r w:rsidRPr="004D4C57">
        <w:rPr>
          <w:sz w:val="22"/>
          <w:szCs w:val="22"/>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w:t>
      </w:r>
      <w:proofErr w:type="gramStart"/>
      <w:r w:rsidRPr="004D4C57">
        <w:rPr>
          <w:sz w:val="22"/>
          <w:szCs w:val="22"/>
        </w:rPr>
        <w:t>a period of time</w:t>
      </w:r>
      <w:proofErr w:type="gramEnd"/>
      <w:r w:rsidRPr="004D4C57">
        <w:rPr>
          <w:sz w:val="22"/>
          <w:szCs w:val="22"/>
        </w:rPr>
        <w:t xml:space="preserve"> to comply with the relevant emission standard that is equivalent to the compliance period specified in the relevant standard for existing sources in existence at the time the standard becomes effective. </w:t>
      </w:r>
    </w:p>
    <w:p w:rsidR="003F210F" w:rsidRPr="004D4C57" w:rsidRDefault="003F210F" w:rsidP="004D4C57">
      <w:pPr>
        <w:pStyle w:val="NormalWeb"/>
        <w:rPr>
          <w:sz w:val="22"/>
          <w:szCs w:val="22"/>
        </w:rPr>
      </w:pPr>
      <w:r w:rsidRPr="004D4C57">
        <w:rPr>
          <w:sz w:val="22"/>
          <w:szCs w:val="22"/>
        </w:rPr>
        <w:t xml:space="preserve">(d) [Reserved] </w:t>
      </w:r>
    </w:p>
    <w:p w:rsidR="003F210F" w:rsidRPr="004D4C57" w:rsidRDefault="003F210F" w:rsidP="004D4C57">
      <w:pPr>
        <w:pStyle w:val="NormalWeb"/>
        <w:rPr>
          <w:sz w:val="22"/>
          <w:szCs w:val="22"/>
        </w:rPr>
      </w:pPr>
      <w:r w:rsidRPr="004D4C57">
        <w:rPr>
          <w:sz w:val="22"/>
          <w:szCs w:val="22"/>
        </w:rPr>
        <w:t xml:space="preserve">(e) </w:t>
      </w:r>
      <w:r w:rsidRPr="004D4C57">
        <w:rPr>
          <w:i/>
          <w:iCs/>
          <w:sz w:val="22"/>
          <w:szCs w:val="22"/>
        </w:rPr>
        <w:t>Operation and maintenance requirements.</w:t>
      </w:r>
      <w:r w:rsidRPr="004D4C57">
        <w:rPr>
          <w:sz w:val="22"/>
          <w:szCs w:val="22"/>
        </w:rPr>
        <w:t xml:space="preserve"> (1)(i) </w:t>
      </w:r>
      <w:proofErr w:type="gramStart"/>
      <w:r w:rsidRPr="004D4C57">
        <w:rPr>
          <w:sz w:val="22"/>
          <w:szCs w:val="22"/>
        </w:rPr>
        <w:t>At all times</w:t>
      </w:r>
      <w:proofErr w:type="gramEnd"/>
      <w:r w:rsidRPr="004D4C57">
        <w:rPr>
          <w:sz w:val="22"/>
          <w:szCs w:val="22"/>
        </w:rPr>
        <w:t xml:space="preserve">,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w:t>
      </w:r>
      <w:r w:rsidRPr="004D4C57">
        <w:rPr>
          <w:sz w:val="22"/>
          <w:szCs w:val="22"/>
        </w:rPr>
        <w:lastRenderedPageBreak/>
        <w:t>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3F210F" w:rsidRPr="004D4C57" w:rsidRDefault="003F210F" w:rsidP="004D4C57">
      <w:pPr>
        <w:pStyle w:val="NormalWeb"/>
        <w:rPr>
          <w:sz w:val="22"/>
          <w:szCs w:val="22"/>
        </w:rPr>
      </w:pPr>
      <w:r w:rsidRPr="004D4C57">
        <w:rPr>
          <w:sz w:val="22"/>
          <w:szCs w:val="22"/>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3F210F" w:rsidRPr="004D4C57" w:rsidRDefault="003F210F" w:rsidP="004D4C57">
      <w:pPr>
        <w:pStyle w:val="NormalWeb"/>
        <w:rPr>
          <w:sz w:val="22"/>
          <w:szCs w:val="22"/>
        </w:rPr>
      </w:pPr>
      <w:r w:rsidRPr="004D4C57">
        <w:rPr>
          <w:sz w:val="22"/>
          <w:szCs w:val="22"/>
        </w:rPr>
        <w:t xml:space="preserve">(iii) Operation and maintenance requirements established pursuant to section 112 of the Act are enforceable independent of emissions limitations or other requirements in relevant standards. </w:t>
      </w:r>
    </w:p>
    <w:p w:rsidR="003F210F" w:rsidRPr="004D4C57" w:rsidRDefault="003F210F" w:rsidP="004D4C57">
      <w:pPr>
        <w:pStyle w:val="NormalWeb"/>
        <w:rPr>
          <w:sz w:val="22"/>
          <w:szCs w:val="22"/>
        </w:rPr>
      </w:pPr>
      <w:r w:rsidRPr="004D4C57">
        <w:rPr>
          <w:sz w:val="22"/>
          <w:szCs w:val="22"/>
        </w:rPr>
        <w:t>(2) [Reserved]</w:t>
      </w:r>
    </w:p>
    <w:p w:rsidR="003F210F" w:rsidRPr="004D4C57" w:rsidRDefault="003F210F" w:rsidP="004D4C57">
      <w:pPr>
        <w:pStyle w:val="NormalWeb"/>
        <w:rPr>
          <w:sz w:val="22"/>
          <w:szCs w:val="22"/>
        </w:rPr>
      </w:pPr>
      <w:r w:rsidRPr="004D4C57">
        <w:rPr>
          <w:sz w:val="22"/>
          <w:szCs w:val="22"/>
        </w:rPr>
        <w:t xml:space="preserve">(3) </w:t>
      </w:r>
      <w:r w:rsidRPr="004D4C57">
        <w:rPr>
          <w:i/>
          <w:iCs/>
          <w:sz w:val="22"/>
          <w:szCs w:val="22"/>
        </w:rPr>
        <w:t>Startup, shutdown, and malfunction plan.</w:t>
      </w:r>
      <w:r w:rsidRPr="004D4C57">
        <w:rPr>
          <w:sz w:val="22"/>
          <w:szCs w:val="22"/>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3F210F" w:rsidRPr="004D4C57" w:rsidRDefault="003F210F" w:rsidP="004D4C57">
      <w:pPr>
        <w:pStyle w:val="NormalWeb"/>
        <w:rPr>
          <w:sz w:val="22"/>
          <w:szCs w:val="22"/>
        </w:rPr>
      </w:pPr>
      <w:r w:rsidRPr="004D4C57">
        <w:rPr>
          <w:sz w:val="22"/>
          <w:szCs w:val="22"/>
        </w:rPr>
        <w:t xml:space="preserve">(A) Ensure that, </w:t>
      </w:r>
      <w:proofErr w:type="gramStart"/>
      <w:r w:rsidRPr="004D4C57">
        <w:rPr>
          <w:sz w:val="22"/>
          <w:szCs w:val="22"/>
        </w:rPr>
        <w:t>at all times</w:t>
      </w:r>
      <w:proofErr w:type="gramEnd"/>
      <w:r w:rsidRPr="004D4C57">
        <w:rPr>
          <w:sz w:val="22"/>
          <w:szCs w:val="22"/>
        </w:rPr>
        <w:t>, the owner or operator operates and maintains each affected source, including associated air pollution control and monitoring equipment, in a manner which satisfies the general duty to minimize emissions established by paragraph (e)(1)(i) of this section;</w:t>
      </w:r>
    </w:p>
    <w:p w:rsidR="003F210F" w:rsidRPr="004D4C57" w:rsidRDefault="003F210F" w:rsidP="004D4C57">
      <w:pPr>
        <w:pStyle w:val="NormalWeb"/>
        <w:rPr>
          <w:sz w:val="22"/>
          <w:szCs w:val="22"/>
        </w:rPr>
      </w:pPr>
      <w:r w:rsidRPr="004D4C57">
        <w:rPr>
          <w:sz w:val="22"/>
          <w:szCs w:val="22"/>
        </w:rPr>
        <w:t xml:space="preserve">(B) Ensure that owners or operators are prepared to correct malfunctions as soon as practicable after their occurrence </w:t>
      </w:r>
      <w:proofErr w:type="gramStart"/>
      <w:r w:rsidRPr="004D4C57">
        <w:rPr>
          <w:sz w:val="22"/>
          <w:szCs w:val="22"/>
        </w:rPr>
        <w:t>in order to</w:t>
      </w:r>
      <w:proofErr w:type="gramEnd"/>
      <w:r w:rsidRPr="004D4C57">
        <w:rPr>
          <w:sz w:val="22"/>
          <w:szCs w:val="22"/>
        </w:rPr>
        <w:t xml:space="preserve"> minimize excess emissions of hazardous air pollutants; and </w:t>
      </w:r>
    </w:p>
    <w:p w:rsidR="003F210F" w:rsidRPr="004D4C57" w:rsidRDefault="003F210F" w:rsidP="004D4C57">
      <w:pPr>
        <w:pStyle w:val="NormalWeb"/>
        <w:rPr>
          <w:sz w:val="22"/>
          <w:szCs w:val="22"/>
        </w:rPr>
      </w:pPr>
      <w:r w:rsidRPr="004D4C57">
        <w:rPr>
          <w:sz w:val="22"/>
          <w:szCs w:val="22"/>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3F210F" w:rsidRPr="004D4C57" w:rsidRDefault="003F210F" w:rsidP="004D4C57">
      <w:pPr>
        <w:pStyle w:val="NormalWeb"/>
        <w:rPr>
          <w:sz w:val="22"/>
          <w:szCs w:val="22"/>
        </w:rPr>
      </w:pPr>
      <w:r w:rsidRPr="004D4C57">
        <w:rPr>
          <w:sz w:val="22"/>
          <w:szCs w:val="22"/>
        </w:rPr>
        <w:t xml:space="preserve">(ii) [Reserved] </w:t>
      </w:r>
    </w:p>
    <w:p w:rsidR="003F210F" w:rsidRPr="004D4C57" w:rsidRDefault="003F210F" w:rsidP="004D4C57">
      <w:pPr>
        <w:pStyle w:val="NormalWeb"/>
        <w:rPr>
          <w:sz w:val="22"/>
          <w:szCs w:val="22"/>
        </w:rPr>
      </w:pPr>
      <w:r w:rsidRPr="004D4C57">
        <w:rPr>
          <w:sz w:val="22"/>
          <w:szCs w:val="22"/>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w:t>
      </w:r>
      <w:r w:rsidRPr="004D4C57">
        <w:rPr>
          <w:sz w:val="22"/>
          <w:szCs w:val="22"/>
        </w:rPr>
        <w:lastRenderedPageBreak/>
        <w:t xml:space="preserve">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3F210F" w:rsidRPr="004D4C57" w:rsidRDefault="003F210F" w:rsidP="004D4C57">
      <w:pPr>
        <w:pStyle w:val="NormalWeb"/>
        <w:rPr>
          <w:sz w:val="22"/>
          <w:szCs w:val="22"/>
        </w:rPr>
      </w:pPr>
      <w:r w:rsidRPr="004D4C57">
        <w:rPr>
          <w:sz w:val="22"/>
          <w:szCs w:val="22"/>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3F210F" w:rsidRPr="004D4C57" w:rsidRDefault="003F210F" w:rsidP="004D4C57">
      <w:pPr>
        <w:pStyle w:val="NormalWeb"/>
        <w:rPr>
          <w:sz w:val="22"/>
          <w:szCs w:val="22"/>
        </w:rPr>
      </w:pPr>
      <w:r w:rsidRPr="004D4C57">
        <w:rPr>
          <w:sz w:val="22"/>
          <w:szCs w:val="22"/>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3F210F" w:rsidRPr="004D4C57" w:rsidRDefault="003F210F" w:rsidP="004D4C57">
      <w:pPr>
        <w:pStyle w:val="NormalWeb"/>
        <w:rPr>
          <w:sz w:val="22"/>
          <w:szCs w:val="22"/>
        </w:rPr>
      </w:pPr>
      <w:r w:rsidRPr="004D4C57">
        <w:rPr>
          <w:sz w:val="22"/>
          <w:szCs w:val="22"/>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3F210F" w:rsidRPr="004D4C57" w:rsidRDefault="003F210F" w:rsidP="004D4C57">
      <w:pPr>
        <w:pStyle w:val="NormalWeb"/>
        <w:rPr>
          <w:sz w:val="22"/>
          <w:szCs w:val="22"/>
        </w:rPr>
      </w:pPr>
      <w:r w:rsidRPr="004D4C57">
        <w:rPr>
          <w:sz w:val="22"/>
          <w:szCs w:val="22"/>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3F210F" w:rsidRPr="004D4C57" w:rsidRDefault="003F210F" w:rsidP="004D4C57">
      <w:pPr>
        <w:pStyle w:val="NormalWeb"/>
        <w:rPr>
          <w:sz w:val="22"/>
          <w:szCs w:val="22"/>
        </w:rPr>
      </w:pPr>
      <w:r w:rsidRPr="004D4C57">
        <w:rPr>
          <w:sz w:val="22"/>
          <w:szCs w:val="22"/>
        </w:rPr>
        <w:t xml:space="preserve">(A) Does not address a startup, shutdown, or malfunction event that has occurred; </w:t>
      </w:r>
    </w:p>
    <w:p w:rsidR="003F210F" w:rsidRPr="004D4C57" w:rsidRDefault="003F210F" w:rsidP="004D4C57">
      <w:pPr>
        <w:pStyle w:val="NormalWeb"/>
        <w:rPr>
          <w:sz w:val="22"/>
          <w:szCs w:val="22"/>
        </w:rPr>
      </w:pPr>
      <w:r w:rsidRPr="004D4C57">
        <w:rPr>
          <w:sz w:val="22"/>
          <w:szCs w:val="22"/>
        </w:rPr>
        <w:lastRenderedPageBreak/>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3F210F" w:rsidRPr="004D4C57" w:rsidRDefault="003F210F" w:rsidP="004D4C57">
      <w:pPr>
        <w:pStyle w:val="NormalWeb"/>
        <w:rPr>
          <w:sz w:val="22"/>
          <w:szCs w:val="22"/>
        </w:rPr>
      </w:pPr>
      <w:r w:rsidRPr="004D4C57">
        <w:rPr>
          <w:sz w:val="22"/>
          <w:szCs w:val="22"/>
        </w:rPr>
        <w:t xml:space="preserve">(C) Does not provide adequate procedures for correcting malfunctioning process and/or air pollution control and monitoring equipment as quickly as practicable; or </w:t>
      </w:r>
    </w:p>
    <w:p w:rsidR="003F210F" w:rsidRPr="004D4C57" w:rsidRDefault="003F210F" w:rsidP="004D4C57">
      <w:pPr>
        <w:pStyle w:val="NormalWeb"/>
        <w:rPr>
          <w:sz w:val="22"/>
          <w:szCs w:val="22"/>
        </w:rPr>
      </w:pPr>
      <w:r w:rsidRPr="004D4C57">
        <w:rPr>
          <w:sz w:val="22"/>
          <w:szCs w:val="22"/>
        </w:rPr>
        <w:t xml:space="preserve">(D) Includes an event that does not meet the definition of startup, shutdown, or malfunction listed in §63.2. </w:t>
      </w:r>
    </w:p>
    <w:p w:rsidR="003F210F" w:rsidRPr="004D4C57" w:rsidRDefault="003F210F" w:rsidP="004D4C57">
      <w:pPr>
        <w:pStyle w:val="NormalWeb"/>
        <w:rPr>
          <w:sz w:val="22"/>
          <w:szCs w:val="22"/>
        </w:rPr>
      </w:pPr>
      <w:r w:rsidRPr="004D4C57">
        <w:rPr>
          <w:sz w:val="22"/>
          <w:szCs w:val="22"/>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3F210F" w:rsidRPr="004D4C57" w:rsidRDefault="003F210F" w:rsidP="004D4C57">
      <w:pPr>
        <w:pStyle w:val="NormalWeb"/>
        <w:rPr>
          <w:sz w:val="22"/>
          <w:szCs w:val="22"/>
        </w:rPr>
      </w:pPr>
      <w:r w:rsidRPr="004D4C57">
        <w:rPr>
          <w:sz w:val="22"/>
          <w:szCs w:val="22"/>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3F210F" w:rsidRPr="004D4C57" w:rsidRDefault="003F210F" w:rsidP="004D4C57">
      <w:pPr>
        <w:pStyle w:val="NormalWeb"/>
        <w:rPr>
          <w:sz w:val="22"/>
          <w:szCs w:val="22"/>
        </w:rPr>
      </w:pPr>
      <w:r w:rsidRPr="004D4C57">
        <w:rPr>
          <w:sz w:val="22"/>
          <w:szCs w:val="22"/>
        </w:rPr>
        <w:t xml:space="preserve">(f) </w:t>
      </w:r>
      <w:r w:rsidRPr="004D4C57">
        <w:rPr>
          <w:i/>
          <w:iCs/>
          <w:sz w:val="22"/>
          <w:szCs w:val="22"/>
        </w:rPr>
        <w:t>Compliance with nonopacity emission standards</w:t>
      </w:r>
      <w:proofErr w:type="gramStart"/>
      <w:r w:rsidRPr="004D4C57">
        <w:rPr>
          <w:sz w:val="22"/>
          <w:szCs w:val="22"/>
        </w:rPr>
        <w:t>—(</w:t>
      </w:r>
      <w:proofErr w:type="gramEnd"/>
      <w:r w:rsidRPr="004D4C57">
        <w:rPr>
          <w:sz w:val="22"/>
          <w:szCs w:val="22"/>
        </w:rPr>
        <w:t xml:space="preserve">1) </w:t>
      </w:r>
      <w:r w:rsidRPr="004D4C57">
        <w:rPr>
          <w:i/>
          <w:iCs/>
          <w:sz w:val="22"/>
          <w:szCs w:val="22"/>
        </w:rPr>
        <w:t>Applicability.</w:t>
      </w:r>
      <w:r w:rsidRPr="004D4C57">
        <w:rPr>
          <w:sz w:val="22"/>
          <w:szCs w:val="22"/>
        </w:rPr>
        <w:t xml:space="preserve"> The non-opacity emission standards set forth in this part shall apply </w:t>
      </w:r>
      <w:proofErr w:type="gramStart"/>
      <w:r w:rsidRPr="004D4C57">
        <w:rPr>
          <w:sz w:val="22"/>
          <w:szCs w:val="22"/>
        </w:rPr>
        <w:t>at all times</w:t>
      </w:r>
      <w:proofErr w:type="gramEnd"/>
      <w:r w:rsidRPr="004D4C57">
        <w:rPr>
          <w:sz w:val="22"/>
          <w:szCs w:val="22"/>
        </w:rPr>
        <w:t xml:space="preserve"> except during periods of startup, shutdown, and malfunction, and as otherwise specified in an applicable subpart. If a startup, shutdown, or malfunction of one portion of an affected source does not affect the ability of </w:t>
      </w:r>
      <w:proofErr w:type="gramStart"/>
      <w:r w:rsidRPr="004D4C57">
        <w:rPr>
          <w:sz w:val="22"/>
          <w:szCs w:val="22"/>
        </w:rPr>
        <w:t>particular emission</w:t>
      </w:r>
      <w:proofErr w:type="gramEnd"/>
      <w:r w:rsidRPr="004D4C57">
        <w:rPr>
          <w:sz w:val="22"/>
          <w:szCs w:val="22"/>
        </w:rPr>
        <w:t xml:space="preserve"> points within other portions of the affected source to comply with the non-opacity emission standards set forth in this part, then that emission point must still be required to comply with the non-opacity emission standards and other applicable requirements. </w:t>
      </w:r>
    </w:p>
    <w:p w:rsidR="003F210F" w:rsidRPr="004D4C57" w:rsidRDefault="003F210F" w:rsidP="004D4C57">
      <w:pPr>
        <w:pStyle w:val="NormalWeb"/>
        <w:rPr>
          <w:sz w:val="22"/>
          <w:szCs w:val="22"/>
        </w:rPr>
      </w:pPr>
      <w:r w:rsidRPr="004D4C57">
        <w:rPr>
          <w:sz w:val="22"/>
          <w:szCs w:val="22"/>
        </w:rPr>
        <w:t xml:space="preserve">(2) </w:t>
      </w:r>
      <w:r w:rsidRPr="004D4C57">
        <w:rPr>
          <w:i/>
          <w:iCs/>
          <w:sz w:val="22"/>
          <w:szCs w:val="22"/>
        </w:rPr>
        <w:t>Methods for determining compliance.</w:t>
      </w:r>
      <w:r w:rsidRPr="004D4C57">
        <w:rPr>
          <w:sz w:val="22"/>
          <w:szCs w:val="22"/>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rsidR="003F210F" w:rsidRPr="004D4C57" w:rsidRDefault="003F210F" w:rsidP="004D4C57">
      <w:pPr>
        <w:pStyle w:val="NormalWeb"/>
        <w:rPr>
          <w:sz w:val="22"/>
          <w:szCs w:val="22"/>
        </w:rPr>
      </w:pPr>
      <w:r w:rsidRPr="004D4C57">
        <w:rPr>
          <w:sz w:val="22"/>
          <w:szCs w:val="22"/>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rsidR="003F210F" w:rsidRPr="004D4C57" w:rsidRDefault="003F210F" w:rsidP="004D4C57">
      <w:pPr>
        <w:pStyle w:val="NormalWeb"/>
        <w:rPr>
          <w:sz w:val="22"/>
          <w:szCs w:val="22"/>
        </w:rPr>
      </w:pPr>
      <w:r w:rsidRPr="004D4C57">
        <w:rPr>
          <w:sz w:val="22"/>
          <w:szCs w:val="22"/>
        </w:rPr>
        <w:lastRenderedPageBreak/>
        <w:t>(iii) If an affected source conducts performance testing at startup to obtain an operating permit in the State in which the source is located, the results of such testing may be used to demonstrate compliance with a relevant standard if—</w:t>
      </w:r>
    </w:p>
    <w:p w:rsidR="003F210F" w:rsidRPr="004D4C57" w:rsidRDefault="003F210F" w:rsidP="004D4C57">
      <w:pPr>
        <w:pStyle w:val="NormalWeb"/>
        <w:rPr>
          <w:sz w:val="22"/>
          <w:szCs w:val="22"/>
        </w:rPr>
      </w:pPr>
      <w:r w:rsidRPr="004D4C57">
        <w:rPr>
          <w:sz w:val="22"/>
          <w:szCs w:val="22"/>
        </w:rPr>
        <w:t xml:space="preserve">(A) The performance test was conducted within a reasonable amount of time before an initial performance test is required to be conducted under the relevant standard; </w:t>
      </w:r>
    </w:p>
    <w:p w:rsidR="003F210F" w:rsidRPr="004D4C57" w:rsidRDefault="003F210F" w:rsidP="004D4C57">
      <w:pPr>
        <w:pStyle w:val="NormalWeb"/>
        <w:rPr>
          <w:sz w:val="22"/>
          <w:szCs w:val="22"/>
        </w:rPr>
      </w:pPr>
      <w:r w:rsidRPr="004D4C57">
        <w:rPr>
          <w:sz w:val="22"/>
          <w:szCs w:val="22"/>
        </w:rPr>
        <w:t xml:space="preserve">(B) The performance test was conducted under representative operating conditions for the source; </w:t>
      </w:r>
    </w:p>
    <w:p w:rsidR="003F210F" w:rsidRPr="004D4C57" w:rsidRDefault="003F210F" w:rsidP="004D4C57">
      <w:pPr>
        <w:pStyle w:val="NormalWeb"/>
        <w:rPr>
          <w:sz w:val="22"/>
          <w:szCs w:val="22"/>
        </w:rPr>
      </w:pPr>
      <w:r w:rsidRPr="004D4C57">
        <w:rPr>
          <w:sz w:val="22"/>
          <w:szCs w:val="22"/>
        </w:rPr>
        <w:t xml:space="preserve">(C) The performance test was conducted and the resulting data were reduced using EPA-approved test methods and procedures, as specified in §63.7(e) of this subpart; and </w:t>
      </w:r>
    </w:p>
    <w:p w:rsidR="003F210F" w:rsidRPr="004D4C57" w:rsidRDefault="003F210F" w:rsidP="004D4C57">
      <w:pPr>
        <w:pStyle w:val="NormalWeb"/>
        <w:rPr>
          <w:sz w:val="22"/>
          <w:szCs w:val="22"/>
        </w:rPr>
      </w:pPr>
      <w:r w:rsidRPr="004D4C57">
        <w:rPr>
          <w:sz w:val="22"/>
          <w:szCs w:val="22"/>
        </w:rPr>
        <w:t xml:space="preserve">(D) The performance test was appropriately quality-assured, as specified in §63.7(c). </w:t>
      </w:r>
    </w:p>
    <w:p w:rsidR="003F210F" w:rsidRPr="004D4C57" w:rsidRDefault="003F210F" w:rsidP="004D4C57">
      <w:pPr>
        <w:pStyle w:val="NormalWeb"/>
        <w:rPr>
          <w:sz w:val="22"/>
          <w:szCs w:val="22"/>
        </w:rPr>
      </w:pPr>
      <w:r w:rsidRPr="004D4C57">
        <w:rPr>
          <w:sz w:val="22"/>
          <w:szCs w:val="22"/>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rsidR="003F210F" w:rsidRPr="004D4C57" w:rsidRDefault="003F210F" w:rsidP="004D4C57">
      <w:pPr>
        <w:pStyle w:val="NormalWeb"/>
        <w:rPr>
          <w:sz w:val="22"/>
          <w:szCs w:val="22"/>
        </w:rPr>
      </w:pPr>
      <w:r w:rsidRPr="004D4C57">
        <w:rPr>
          <w:sz w:val="22"/>
          <w:szCs w:val="22"/>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3F210F" w:rsidRPr="004D4C57" w:rsidRDefault="003F210F" w:rsidP="004D4C57">
      <w:pPr>
        <w:pStyle w:val="NormalWeb"/>
        <w:rPr>
          <w:sz w:val="22"/>
          <w:szCs w:val="22"/>
        </w:rPr>
      </w:pPr>
      <w:r w:rsidRPr="004D4C57">
        <w:rPr>
          <w:sz w:val="22"/>
          <w:szCs w:val="22"/>
        </w:rPr>
        <w:t xml:space="preserve">(3) </w:t>
      </w:r>
      <w:r w:rsidRPr="004D4C57">
        <w:rPr>
          <w:i/>
          <w:iCs/>
          <w:sz w:val="22"/>
          <w:szCs w:val="22"/>
        </w:rPr>
        <w:t>Finding of compliance.</w:t>
      </w:r>
      <w:r w:rsidRPr="004D4C57">
        <w:rPr>
          <w:sz w:val="22"/>
          <w:szCs w:val="22"/>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3F210F" w:rsidRPr="004D4C57" w:rsidRDefault="003F210F" w:rsidP="004D4C57">
      <w:pPr>
        <w:pStyle w:val="NormalWeb"/>
        <w:rPr>
          <w:sz w:val="22"/>
          <w:szCs w:val="22"/>
        </w:rPr>
      </w:pPr>
      <w:r w:rsidRPr="004D4C57">
        <w:rPr>
          <w:sz w:val="22"/>
          <w:szCs w:val="22"/>
        </w:rPr>
        <w:t xml:space="preserve">(g) </w:t>
      </w:r>
      <w:r w:rsidRPr="004D4C57">
        <w:rPr>
          <w:i/>
          <w:iCs/>
          <w:sz w:val="22"/>
          <w:szCs w:val="22"/>
        </w:rPr>
        <w:t>Use of an alternative nonopacity emission standard.</w:t>
      </w:r>
      <w:r w:rsidRPr="004D4C57">
        <w:rPr>
          <w:sz w:val="22"/>
          <w:szCs w:val="22"/>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4D4C57">
        <w:rPr>
          <w:smallCaps/>
          <w:sz w:val="22"/>
          <w:szCs w:val="22"/>
        </w:rPr>
        <w:t>Federal Register</w:t>
      </w:r>
      <w:r w:rsidRPr="004D4C57">
        <w:rPr>
          <w:sz w:val="22"/>
          <w:szCs w:val="22"/>
        </w:rPr>
        <w:t xml:space="preserve"> a notice permitting the use of the alternative emission standard for purposes of compliance with the promulgated standard. Any </w:t>
      </w:r>
      <w:r w:rsidRPr="004D4C57">
        <w:rPr>
          <w:smallCaps/>
          <w:sz w:val="22"/>
          <w:szCs w:val="22"/>
        </w:rPr>
        <w:t>Federal Register</w:t>
      </w:r>
      <w:r w:rsidRPr="004D4C57">
        <w:rPr>
          <w:sz w:val="22"/>
          <w:szCs w:val="22"/>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rsidR="003F210F" w:rsidRPr="004D4C57" w:rsidRDefault="003F210F" w:rsidP="004D4C57">
      <w:pPr>
        <w:pStyle w:val="NormalWeb"/>
        <w:rPr>
          <w:sz w:val="22"/>
          <w:szCs w:val="22"/>
        </w:rPr>
      </w:pPr>
      <w:r w:rsidRPr="004D4C57">
        <w:rPr>
          <w:sz w:val="22"/>
          <w:szCs w:val="22"/>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3F210F" w:rsidRPr="004D4C57" w:rsidRDefault="003F210F" w:rsidP="004D4C57">
      <w:pPr>
        <w:pStyle w:val="NormalWeb"/>
        <w:rPr>
          <w:sz w:val="22"/>
          <w:szCs w:val="22"/>
        </w:rPr>
      </w:pPr>
      <w:r w:rsidRPr="004D4C57">
        <w:rPr>
          <w:sz w:val="22"/>
          <w:szCs w:val="22"/>
        </w:rPr>
        <w:lastRenderedPageBreak/>
        <w:t xml:space="preserve">(3) The Administrator may establish general procedures in an applicable subpart that accomplish the requirements of paragraphs (g)(1) and (g)(2) of this section. </w:t>
      </w:r>
    </w:p>
    <w:p w:rsidR="003F210F" w:rsidRPr="004D4C57" w:rsidRDefault="003F210F" w:rsidP="004D4C57">
      <w:pPr>
        <w:pStyle w:val="NormalWeb"/>
        <w:rPr>
          <w:sz w:val="22"/>
          <w:szCs w:val="22"/>
        </w:rPr>
      </w:pPr>
      <w:r w:rsidRPr="004D4C57">
        <w:rPr>
          <w:sz w:val="22"/>
          <w:szCs w:val="22"/>
        </w:rPr>
        <w:t xml:space="preserve">(h) </w:t>
      </w:r>
      <w:r w:rsidRPr="004D4C57">
        <w:rPr>
          <w:i/>
          <w:iCs/>
          <w:sz w:val="22"/>
          <w:szCs w:val="22"/>
        </w:rPr>
        <w:t>Compliance with opacity and visible emission standards</w:t>
      </w:r>
      <w:proofErr w:type="gramStart"/>
      <w:r w:rsidRPr="004D4C57">
        <w:rPr>
          <w:sz w:val="22"/>
          <w:szCs w:val="22"/>
        </w:rPr>
        <w:t>—(</w:t>
      </w:r>
      <w:proofErr w:type="gramEnd"/>
      <w:r w:rsidRPr="004D4C57">
        <w:rPr>
          <w:sz w:val="22"/>
          <w:szCs w:val="22"/>
        </w:rPr>
        <w:t xml:space="preserve">1) </w:t>
      </w:r>
      <w:r w:rsidRPr="004D4C57">
        <w:rPr>
          <w:i/>
          <w:iCs/>
          <w:sz w:val="22"/>
          <w:szCs w:val="22"/>
        </w:rPr>
        <w:t>Applicability.</w:t>
      </w:r>
      <w:r w:rsidRPr="004D4C57">
        <w:rPr>
          <w:sz w:val="22"/>
          <w:szCs w:val="22"/>
        </w:rPr>
        <w:t xml:space="preserve"> The opacity and visible emission standards set forth in this part must apply </w:t>
      </w:r>
      <w:proofErr w:type="gramStart"/>
      <w:r w:rsidRPr="004D4C57">
        <w:rPr>
          <w:sz w:val="22"/>
          <w:szCs w:val="22"/>
        </w:rPr>
        <w:t>at all times</w:t>
      </w:r>
      <w:proofErr w:type="gramEnd"/>
      <w:r w:rsidRPr="004D4C57">
        <w:rPr>
          <w:sz w:val="22"/>
          <w:szCs w:val="22"/>
        </w:rPr>
        <w:t xml:space="preserve"> except during periods of startup, shutdown, and malfunction, and as otherwise specified in an applicable subpart. If a startup, shutdown, or malfunction of one portion of an affected source does not affect the ability of </w:t>
      </w:r>
      <w:proofErr w:type="gramStart"/>
      <w:r w:rsidRPr="004D4C57">
        <w:rPr>
          <w:sz w:val="22"/>
          <w:szCs w:val="22"/>
        </w:rPr>
        <w:t>particular emission</w:t>
      </w:r>
      <w:proofErr w:type="gramEnd"/>
      <w:r w:rsidRPr="004D4C57">
        <w:rPr>
          <w:sz w:val="22"/>
          <w:szCs w:val="22"/>
        </w:rPr>
        <w:t xml:space="preserve">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3F210F" w:rsidRPr="004D4C57" w:rsidRDefault="003F210F" w:rsidP="004D4C57">
      <w:pPr>
        <w:pStyle w:val="NormalWeb"/>
        <w:rPr>
          <w:sz w:val="22"/>
          <w:szCs w:val="22"/>
        </w:rPr>
      </w:pPr>
      <w:r w:rsidRPr="004D4C57">
        <w:rPr>
          <w:sz w:val="22"/>
          <w:szCs w:val="22"/>
        </w:rPr>
        <w:t xml:space="preserve">(2) </w:t>
      </w:r>
      <w:r w:rsidRPr="004D4C57">
        <w:rPr>
          <w:i/>
          <w:iCs/>
          <w:sz w:val="22"/>
          <w:szCs w:val="22"/>
        </w:rPr>
        <w:t>Methods for determining compliance.</w:t>
      </w:r>
      <w:r w:rsidRPr="004D4C57">
        <w:rPr>
          <w:sz w:val="22"/>
          <w:szCs w:val="22"/>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3F210F" w:rsidRPr="004D4C57" w:rsidRDefault="003F210F" w:rsidP="004D4C57">
      <w:pPr>
        <w:pStyle w:val="NormalWeb"/>
        <w:rPr>
          <w:sz w:val="22"/>
          <w:szCs w:val="22"/>
        </w:rPr>
      </w:pPr>
      <w:r w:rsidRPr="004D4C57">
        <w:rPr>
          <w:sz w:val="22"/>
          <w:szCs w:val="22"/>
        </w:rPr>
        <w:t xml:space="preserve">(ii) [Reserved] </w:t>
      </w:r>
    </w:p>
    <w:p w:rsidR="003F210F" w:rsidRPr="004D4C57" w:rsidRDefault="003F210F" w:rsidP="004D4C57">
      <w:pPr>
        <w:pStyle w:val="NormalWeb"/>
        <w:rPr>
          <w:sz w:val="22"/>
          <w:szCs w:val="22"/>
        </w:rPr>
      </w:pPr>
      <w:r w:rsidRPr="004D4C57">
        <w:rPr>
          <w:sz w:val="22"/>
          <w:szCs w:val="22"/>
        </w:rPr>
        <w:t>(iii) If an affected source undergoes opacity or visible emission testing at startup to obtain an operating permit in the State in which the source is located, the results of such testing may be used to demonstrate compliance with a relevant standard if—</w:t>
      </w:r>
    </w:p>
    <w:p w:rsidR="003F210F" w:rsidRPr="004D4C57" w:rsidRDefault="003F210F" w:rsidP="004D4C57">
      <w:pPr>
        <w:pStyle w:val="NormalWeb"/>
        <w:rPr>
          <w:sz w:val="22"/>
          <w:szCs w:val="22"/>
        </w:rPr>
      </w:pPr>
      <w:r w:rsidRPr="004D4C57">
        <w:rPr>
          <w:sz w:val="22"/>
          <w:szCs w:val="22"/>
        </w:rPr>
        <w:t xml:space="preserve">(A) The opacity or visible emission test was conducted within a reasonable amount of time before a performance test is required to be conducted under the relevant standard; </w:t>
      </w:r>
    </w:p>
    <w:p w:rsidR="003F210F" w:rsidRPr="004D4C57" w:rsidRDefault="003F210F" w:rsidP="004D4C57">
      <w:pPr>
        <w:pStyle w:val="NormalWeb"/>
        <w:rPr>
          <w:sz w:val="22"/>
          <w:szCs w:val="22"/>
        </w:rPr>
      </w:pPr>
      <w:r w:rsidRPr="004D4C57">
        <w:rPr>
          <w:sz w:val="22"/>
          <w:szCs w:val="22"/>
        </w:rPr>
        <w:t xml:space="preserve">(B) The opacity or visible emission test was conducted under representative operating conditions for the source; </w:t>
      </w:r>
    </w:p>
    <w:p w:rsidR="003F210F" w:rsidRPr="004D4C57" w:rsidRDefault="003F210F" w:rsidP="004D4C57">
      <w:pPr>
        <w:pStyle w:val="NormalWeb"/>
        <w:rPr>
          <w:sz w:val="22"/>
          <w:szCs w:val="22"/>
        </w:rPr>
      </w:pPr>
      <w:r w:rsidRPr="004D4C57">
        <w:rPr>
          <w:sz w:val="22"/>
          <w:szCs w:val="22"/>
        </w:rPr>
        <w:t>(C) The opacity or visible emission test was conducted and the resulting data were reduced using EPA-approved test methods and procedures, as specified in §63.7(e); and</w:t>
      </w:r>
    </w:p>
    <w:p w:rsidR="003F210F" w:rsidRPr="004D4C57" w:rsidRDefault="003F210F" w:rsidP="004D4C57">
      <w:pPr>
        <w:pStyle w:val="NormalWeb"/>
        <w:rPr>
          <w:sz w:val="22"/>
          <w:szCs w:val="22"/>
        </w:rPr>
      </w:pPr>
      <w:r w:rsidRPr="004D4C57">
        <w:rPr>
          <w:sz w:val="22"/>
          <w:szCs w:val="22"/>
        </w:rPr>
        <w:t xml:space="preserve">(D) The opacity or visible emission test was appropriately quality-assured, as specified in §63.7(c) of this section. </w:t>
      </w:r>
    </w:p>
    <w:p w:rsidR="003F210F" w:rsidRPr="004D4C57" w:rsidRDefault="003F210F" w:rsidP="004D4C57">
      <w:pPr>
        <w:pStyle w:val="NormalWeb"/>
        <w:rPr>
          <w:sz w:val="22"/>
          <w:szCs w:val="22"/>
        </w:rPr>
      </w:pPr>
      <w:r w:rsidRPr="004D4C57">
        <w:rPr>
          <w:sz w:val="22"/>
          <w:szCs w:val="22"/>
        </w:rPr>
        <w:t xml:space="preserve">(3) [Reserved] </w:t>
      </w:r>
    </w:p>
    <w:p w:rsidR="003F210F" w:rsidRPr="004D4C57" w:rsidRDefault="003F210F" w:rsidP="004D4C57">
      <w:pPr>
        <w:pStyle w:val="NormalWeb"/>
        <w:rPr>
          <w:sz w:val="22"/>
          <w:szCs w:val="22"/>
        </w:rPr>
      </w:pPr>
      <w:r w:rsidRPr="004D4C57">
        <w:rPr>
          <w:sz w:val="22"/>
          <w:szCs w:val="22"/>
        </w:rPr>
        <w:t xml:space="preserve">(4) </w:t>
      </w:r>
      <w:r w:rsidRPr="004D4C57">
        <w:rPr>
          <w:i/>
          <w:iCs/>
          <w:sz w:val="22"/>
          <w:szCs w:val="22"/>
        </w:rPr>
        <w:t>Notification of opacity or visible emission observations.</w:t>
      </w:r>
      <w:r w:rsidRPr="004D4C57">
        <w:rPr>
          <w:sz w:val="22"/>
          <w:szCs w:val="22"/>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3F210F" w:rsidRPr="004D4C57" w:rsidRDefault="003F210F" w:rsidP="004D4C57">
      <w:pPr>
        <w:pStyle w:val="NormalWeb"/>
        <w:rPr>
          <w:sz w:val="22"/>
          <w:szCs w:val="22"/>
        </w:rPr>
      </w:pPr>
      <w:r w:rsidRPr="004D4C57">
        <w:rPr>
          <w:sz w:val="22"/>
          <w:szCs w:val="22"/>
        </w:rPr>
        <w:t xml:space="preserve">(5) </w:t>
      </w:r>
      <w:r w:rsidRPr="004D4C57">
        <w:rPr>
          <w:i/>
          <w:iCs/>
          <w:sz w:val="22"/>
          <w:szCs w:val="22"/>
        </w:rPr>
        <w:t>Conduct of opacity or visible emission observations.</w:t>
      </w:r>
      <w:r w:rsidRPr="004D4C57">
        <w:rPr>
          <w:sz w:val="22"/>
          <w:szCs w:val="22"/>
        </w:rPr>
        <w:t xml:space="preserve"> When a relevant standard under this part includes an opacity or visible emission standard, the owner or operator of an affected source shall comply with the following: </w:t>
      </w:r>
    </w:p>
    <w:p w:rsidR="003F210F" w:rsidRPr="004D4C57" w:rsidRDefault="003F210F" w:rsidP="004D4C57">
      <w:pPr>
        <w:pStyle w:val="NormalWeb"/>
        <w:rPr>
          <w:sz w:val="22"/>
          <w:szCs w:val="22"/>
        </w:rPr>
      </w:pPr>
      <w:r w:rsidRPr="004D4C57">
        <w:rPr>
          <w:sz w:val="22"/>
          <w:szCs w:val="22"/>
        </w:rPr>
        <w:lastRenderedPageBreak/>
        <w:t xml:space="preserve">(i) </w:t>
      </w:r>
      <w:proofErr w:type="gramStart"/>
      <w:r w:rsidRPr="004D4C57">
        <w:rPr>
          <w:sz w:val="22"/>
          <w:szCs w:val="22"/>
        </w:rPr>
        <w:t>For the purpose of</w:t>
      </w:r>
      <w:proofErr w:type="gramEnd"/>
      <w:r w:rsidRPr="004D4C57">
        <w:rPr>
          <w:sz w:val="22"/>
          <w:szCs w:val="22"/>
        </w:rPr>
        <w:t xml:space="preserve"> demonstrating initial compliance, opacity or visible emission observations shall be conducted concurrently with the initial performance test required in §63.7 unless one of the following conditions applies: </w:t>
      </w:r>
    </w:p>
    <w:p w:rsidR="003F210F" w:rsidRPr="004D4C57" w:rsidRDefault="003F210F" w:rsidP="004D4C57">
      <w:pPr>
        <w:pStyle w:val="NormalWeb"/>
        <w:rPr>
          <w:sz w:val="22"/>
          <w:szCs w:val="22"/>
        </w:rPr>
      </w:pPr>
      <w:r w:rsidRPr="004D4C57">
        <w:rPr>
          <w:sz w:val="22"/>
          <w:szCs w:val="22"/>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3F210F" w:rsidRPr="004D4C57" w:rsidRDefault="003F210F" w:rsidP="004D4C57">
      <w:pPr>
        <w:pStyle w:val="NormalWeb"/>
        <w:rPr>
          <w:sz w:val="22"/>
          <w:szCs w:val="22"/>
        </w:rPr>
      </w:pPr>
      <w:r w:rsidRPr="004D4C57">
        <w:rPr>
          <w:sz w:val="22"/>
          <w:szCs w:val="22"/>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3F210F" w:rsidRPr="004D4C57" w:rsidRDefault="003F210F" w:rsidP="004D4C57">
      <w:pPr>
        <w:pStyle w:val="NormalWeb"/>
        <w:rPr>
          <w:sz w:val="22"/>
          <w:szCs w:val="22"/>
        </w:rPr>
      </w:pPr>
      <w:r w:rsidRPr="004D4C57">
        <w:rPr>
          <w:sz w:val="22"/>
          <w:szCs w:val="22"/>
        </w:rPr>
        <w:t xml:space="preserve">(ii) </w:t>
      </w:r>
      <w:proofErr w:type="gramStart"/>
      <w:r w:rsidRPr="004D4C57">
        <w:rPr>
          <w:sz w:val="22"/>
          <w:szCs w:val="22"/>
        </w:rPr>
        <w:t>For the purpose of</w:t>
      </w:r>
      <w:proofErr w:type="gramEnd"/>
      <w:r w:rsidRPr="004D4C57">
        <w:rPr>
          <w:sz w:val="22"/>
          <w:szCs w:val="22"/>
        </w:rPr>
        <w:t xml:space="preserve">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3F210F" w:rsidRPr="004D4C57" w:rsidRDefault="003F210F" w:rsidP="004D4C57">
      <w:pPr>
        <w:pStyle w:val="NormalWeb"/>
        <w:rPr>
          <w:sz w:val="22"/>
          <w:szCs w:val="22"/>
        </w:rPr>
      </w:pPr>
      <w:r w:rsidRPr="004D4C57">
        <w:rPr>
          <w:sz w:val="22"/>
          <w:szCs w:val="22"/>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3F210F" w:rsidRPr="004D4C57" w:rsidRDefault="003F210F" w:rsidP="004D4C57">
      <w:pPr>
        <w:pStyle w:val="NormalWeb"/>
        <w:rPr>
          <w:sz w:val="22"/>
          <w:szCs w:val="22"/>
        </w:rPr>
      </w:pPr>
      <w:r w:rsidRPr="004D4C57">
        <w:rPr>
          <w:sz w:val="22"/>
          <w:szCs w:val="22"/>
        </w:rPr>
        <w:t xml:space="preserve">(iv) [Reserved] </w:t>
      </w:r>
    </w:p>
    <w:p w:rsidR="003F210F" w:rsidRPr="004D4C57" w:rsidRDefault="003F210F" w:rsidP="004D4C57">
      <w:pPr>
        <w:pStyle w:val="NormalWeb"/>
        <w:rPr>
          <w:sz w:val="22"/>
          <w:szCs w:val="22"/>
        </w:rPr>
      </w:pPr>
      <w:r w:rsidRPr="004D4C57">
        <w:rPr>
          <w:sz w:val="22"/>
          <w:szCs w:val="22"/>
        </w:rPr>
        <w:t xml:space="preserve">(v) Opacity readings of portions of plumes that contain condensed, uncombined water vapor shall not be used for purposes of determining compliance with opacity emission standards. </w:t>
      </w:r>
    </w:p>
    <w:p w:rsidR="003F210F" w:rsidRPr="004D4C57" w:rsidRDefault="003F210F" w:rsidP="004D4C57">
      <w:pPr>
        <w:pStyle w:val="NormalWeb"/>
        <w:rPr>
          <w:sz w:val="22"/>
          <w:szCs w:val="22"/>
        </w:rPr>
      </w:pPr>
      <w:r w:rsidRPr="004D4C57">
        <w:rPr>
          <w:sz w:val="22"/>
          <w:szCs w:val="22"/>
        </w:rPr>
        <w:t xml:space="preserve">(6) </w:t>
      </w:r>
      <w:r w:rsidRPr="004D4C57">
        <w:rPr>
          <w:i/>
          <w:iCs/>
          <w:sz w:val="22"/>
          <w:szCs w:val="22"/>
        </w:rPr>
        <w:t>Availability of records.</w:t>
      </w:r>
      <w:r w:rsidRPr="004D4C57">
        <w:rPr>
          <w:sz w:val="22"/>
          <w:szCs w:val="22"/>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3F210F" w:rsidRPr="004D4C57" w:rsidRDefault="003F210F" w:rsidP="004D4C57">
      <w:pPr>
        <w:pStyle w:val="NormalWeb"/>
        <w:rPr>
          <w:sz w:val="22"/>
          <w:szCs w:val="22"/>
        </w:rPr>
      </w:pPr>
      <w:r w:rsidRPr="004D4C57">
        <w:rPr>
          <w:sz w:val="22"/>
          <w:szCs w:val="22"/>
        </w:rPr>
        <w:t xml:space="preserve">(7) </w:t>
      </w:r>
      <w:r w:rsidRPr="004D4C57">
        <w:rPr>
          <w:i/>
          <w:iCs/>
          <w:sz w:val="22"/>
          <w:szCs w:val="22"/>
        </w:rPr>
        <w:t>Use of a continuous opacity monitoring system.</w:t>
      </w:r>
      <w:r w:rsidRPr="004D4C57">
        <w:rPr>
          <w:sz w:val="22"/>
          <w:szCs w:val="22"/>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3F210F" w:rsidRPr="004D4C57" w:rsidRDefault="003F210F" w:rsidP="004D4C57">
      <w:pPr>
        <w:pStyle w:val="NormalWeb"/>
        <w:rPr>
          <w:sz w:val="22"/>
          <w:szCs w:val="22"/>
        </w:rPr>
      </w:pPr>
      <w:r w:rsidRPr="004D4C57">
        <w:rPr>
          <w:sz w:val="22"/>
          <w:szCs w:val="22"/>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w:t>
      </w:r>
      <w:r w:rsidRPr="004D4C57">
        <w:rPr>
          <w:sz w:val="22"/>
          <w:szCs w:val="22"/>
        </w:rPr>
        <w:lastRenderedPageBreak/>
        <w:t xml:space="preserve">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3F210F" w:rsidRPr="004D4C57" w:rsidRDefault="003F210F" w:rsidP="004D4C57">
      <w:pPr>
        <w:pStyle w:val="NormalWeb"/>
        <w:rPr>
          <w:sz w:val="22"/>
          <w:szCs w:val="22"/>
        </w:rPr>
      </w:pPr>
      <w:r w:rsidRPr="004D4C57">
        <w:rPr>
          <w:sz w:val="22"/>
          <w:szCs w:val="22"/>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3F210F" w:rsidRPr="004D4C57" w:rsidRDefault="003F210F" w:rsidP="004D4C57">
      <w:pPr>
        <w:pStyle w:val="NormalWeb"/>
        <w:rPr>
          <w:sz w:val="22"/>
          <w:szCs w:val="22"/>
        </w:rPr>
      </w:pPr>
      <w:r w:rsidRPr="004D4C57">
        <w:rPr>
          <w:sz w:val="22"/>
          <w:szCs w:val="22"/>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3F210F" w:rsidRPr="004D4C57" w:rsidRDefault="003F210F" w:rsidP="004D4C57">
      <w:pPr>
        <w:pStyle w:val="NormalWeb"/>
        <w:rPr>
          <w:sz w:val="22"/>
          <w:szCs w:val="22"/>
        </w:rPr>
      </w:pPr>
      <w:r w:rsidRPr="004D4C57">
        <w:rPr>
          <w:sz w:val="22"/>
          <w:szCs w:val="22"/>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3F210F" w:rsidRPr="004D4C57" w:rsidRDefault="003F210F" w:rsidP="004D4C57">
      <w:pPr>
        <w:pStyle w:val="NormalWeb"/>
        <w:rPr>
          <w:sz w:val="22"/>
          <w:szCs w:val="22"/>
        </w:rPr>
      </w:pPr>
      <w:r w:rsidRPr="004D4C57">
        <w:rPr>
          <w:sz w:val="22"/>
          <w:szCs w:val="22"/>
        </w:rPr>
        <w:t xml:space="preserve">(8) </w:t>
      </w:r>
      <w:r w:rsidRPr="004D4C57">
        <w:rPr>
          <w:i/>
          <w:iCs/>
          <w:sz w:val="22"/>
          <w:szCs w:val="22"/>
        </w:rPr>
        <w:t>Finding of compliance.</w:t>
      </w:r>
      <w:r w:rsidRPr="004D4C57">
        <w:rPr>
          <w:sz w:val="22"/>
          <w:szCs w:val="22"/>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3F210F" w:rsidRPr="004D4C57" w:rsidRDefault="003F210F" w:rsidP="004D4C57">
      <w:pPr>
        <w:pStyle w:val="NormalWeb"/>
        <w:rPr>
          <w:sz w:val="22"/>
          <w:szCs w:val="22"/>
        </w:rPr>
      </w:pPr>
      <w:r w:rsidRPr="004D4C57">
        <w:rPr>
          <w:sz w:val="22"/>
          <w:szCs w:val="22"/>
        </w:rPr>
        <w:t xml:space="preserve">(9) </w:t>
      </w:r>
      <w:r w:rsidRPr="004D4C57">
        <w:rPr>
          <w:i/>
          <w:iCs/>
          <w:sz w:val="22"/>
          <w:szCs w:val="22"/>
        </w:rPr>
        <w:t>Adjustment to an opacity emission standard.</w:t>
      </w:r>
      <w:r w:rsidRPr="004D4C57">
        <w:rPr>
          <w:sz w:val="22"/>
          <w:szCs w:val="22"/>
        </w:rPr>
        <w:t xml:space="preserve"> (i) If the Administrator finds under paragraph (h)(8) of this section that an affected source </w:t>
      </w:r>
      <w:proofErr w:type="gramStart"/>
      <w:r w:rsidRPr="004D4C57">
        <w:rPr>
          <w:sz w:val="22"/>
          <w:szCs w:val="22"/>
        </w:rPr>
        <w:t>is in compliance with</w:t>
      </w:r>
      <w:proofErr w:type="gramEnd"/>
      <w:r w:rsidRPr="004D4C57">
        <w:rPr>
          <w:sz w:val="22"/>
          <w:szCs w:val="22"/>
        </w:rPr>
        <w:t xml:space="preserve">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3F210F" w:rsidRPr="004D4C57" w:rsidRDefault="003F210F" w:rsidP="004D4C57">
      <w:pPr>
        <w:pStyle w:val="NormalWeb"/>
        <w:rPr>
          <w:sz w:val="22"/>
          <w:szCs w:val="22"/>
        </w:rPr>
      </w:pPr>
      <w:r w:rsidRPr="004D4C57">
        <w:rPr>
          <w:sz w:val="22"/>
          <w:szCs w:val="22"/>
        </w:rPr>
        <w:t>(ii) The Administrator may grant such a petition upon a demonstration by the owner or operator that—</w:t>
      </w:r>
    </w:p>
    <w:p w:rsidR="003F210F" w:rsidRPr="004D4C57" w:rsidRDefault="003F210F" w:rsidP="004D4C57">
      <w:pPr>
        <w:pStyle w:val="NormalWeb"/>
        <w:rPr>
          <w:sz w:val="22"/>
          <w:szCs w:val="22"/>
        </w:rPr>
      </w:pPr>
      <w:r w:rsidRPr="004D4C57">
        <w:rPr>
          <w:sz w:val="22"/>
          <w:szCs w:val="22"/>
        </w:rPr>
        <w:t xml:space="preserve">(A) The affected source and its associated air pollution control equipment were operated and maintained in a manner to minimize the opacity of emissions during the performance tests; </w:t>
      </w:r>
    </w:p>
    <w:p w:rsidR="003F210F" w:rsidRPr="004D4C57" w:rsidRDefault="003F210F" w:rsidP="004D4C57">
      <w:pPr>
        <w:pStyle w:val="NormalWeb"/>
        <w:rPr>
          <w:sz w:val="22"/>
          <w:szCs w:val="22"/>
        </w:rPr>
      </w:pPr>
      <w:r w:rsidRPr="004D4C57">
        <w:rPr>
          <w:sz w:val="22"/>
          <w:szCs w:val="22"/>
        </w:rPr>
        <w:t xml:space="preserve">(B) The performance tests were performed under the conditions established by the Administrator; and </w:t>
      </w:r>
    </w:p>
    <w:p w:rsidR="003F210F" w:rsidRPr="004D4C57" w:rsidRDefault="003F210F" w:rsidP="004D4C57">
      <w:pPr>
        <w:pStyle w:val="NormalWeb"/>
        <w:rPr>
          <w:sz w:val="22"/>
          <w:szCs w:val="22"/>
        </w:rPr>
      </w:pPr>
      <w:r w:rsidRPr="004D4C57">
        <w:rPr>
          <w:sz w:val="22"/>
          <w:szCs w:val="22"/>
        </w:rPr>
        <w:t xml:space="preserve">(C) The affected source and its associated air pollution control equipment were incapable of being adjusted or operated to meet the relevant opacity emission standard. </w:t>
      </w:r>
    </w:p>
    <w:p w:rsidR="003F210F" w:rsidRPr="004D4C57" w:rsidRDefault="003F210F" w:rsidP="004D4C57">
      <w:pPr>
        <w:pStyle w:val="NormalWeb"/>
        <w:rPr>
          <w:sz w:val="22"/>
          <w:szCs w:val="22"/>
        </w:rPr>
      </w:pPr>
      <w:r w:rsidRPr="004D4C57">
        <w:rPr>
          <w:sz w:val="22"/>
          <w:szCs w:val="22"/>
        </w:rPr>
        <w:lastRenderedPageBreak/>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w:t>
      </w:r>
      <w:proofErr w:type="gramStart"/>
      <w:r w:rsidRPr="004D4C57">
        <w:rPr>
          <w:sz w:val="22"/>
          <w:szCs w:val="22"/>
        </w:rPr>
        <w:t>at all times</w:t>
      </w:r>
      <w:proofErr w:type="gramEnd"/>
      <w:r w:rsidRPr="004D4C57">
        <w:rPr>
          <w:sz w:val="22"/>
          <w:szCs w:val="22"/>
        </w:rPr>
        <w:t xml:space="preserve"> during which the source is meeting the mass or concentration emission standard. The Administrator will promulgate the new opacity emission standard in the </w:t>
      </w:r>
      <w:r w:rsidRPr="004D4C57">
        <w:rPr>
          <w:smallCaps/>
          <w:sz w:val="22"/>
          <w:szCs w:val="22"/>
        </w:rPr>
        <w:t>Federal Register.</w:t>
      </w:r>
      <w:r w:rsidRPr="004D4C57">
        <w:rPr>
          <w:sz w:val="22"/>
          <w:szCs w:val="22"/>
        </w:rPr>
        <w:t xml:space="preserve"> </w:t>
      </w:r>
    </w:p>
    <w:p w:rsidR="003F210F" w:rsidRPr="004D4C57" w:rsidRDefault="003F210F" w:rsidP="004D4C57">
      <w:pPr>
        <w:pStyle w:val="NormalWeb"/>
        <w:rPr>
          <w:sz w:val="22"/>
          <w:szCs w:val="22"/>
        </w:rPr>
      </w:pPr>
      <w:r w:rsidRPr="004D4C57">
        <w:rPr>
          <w:sz w:val="22"/>
          <w:szCs w:val="22"/>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3F210F" w:rsidRPr="004D4C57" w:rsidRDefault="003F210F" w:rsidP="004D4C57">
      <w:pPr>
        <w:pStyle w:val="NormalWeb"/>
        <w:rPr>
          <w:sz w:val="22"/>
          <w:szCs w:val="22"/>
        </w:rPr>
      </w:pPr>
      <w:r w:rsidRPr="004D4C57">
        <w:rPr>
          <w:sz w:val="22"/>
          <w:szCs w:val="22"/>
        </w:rPr>
        <w:t xml:space="preserve">(i) </w:t>
      </w:r>
      <w:r w:rsidRPr="004D4C57">
        <w:rPr>
          <w:i/>
          <w:iCs/>
          <w:sz w:val="22"/>
          <w:szCs w:val="22"/>
        </w:rPr>
        <w:t>Extension of compliance with emission standards.</w:t>
      </w:r>
      <w:r w:rsidRPr="004D4C57">
        <w:rPr>
          <w:sz w:val="22"/>
          <w:szCs w:val="22"/>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3F210F" w:rsidRPr="004D4C57" w:rsidRDefault="003F210F" w:rsidP="004D4C57">
      <w:pPr>
        <w:pStyle w:val="NormalWeb"/>
        <w:rPr>
          <w:sz w:val="22"/>
          <w:szCs w:val="22"/>
        </w:rPr>
      </w:pPr>
      <w:r w:rsidRPr="004D4C57">
        <w:rPr>
          <w:sz w:val="22"/>
          <w:szCs w:val="22"/>
        </w:rPr>
        <w:t xml:space="preserve">(2) </w:t>
      </w:r>
      <w:r w:rsidRPr="004D4C57">
        <w:rPr>
          <w:i/>
          <w:iCs/>
          <w:sz w:val="22"/>
          <w:szCs w:val="22"/>
        </w:rPr>
        <w:t>Extension of compliance for early reductions and other reductions</w:t>
      </w:r>
      <w:r w:rsidRPr="004D4C57">
        <w:rPr>
          <w:sz w:val="22"/>
          <w:szCs w:val="22"/>
        </w:rPr>
        <w:t xml:space="preserve">—(i) </w:t>
      </w:r>
      <w:r w:rsidRPr="004D4C57">
        <w:rPr>
          <w:i/>
          <w:iCs/>
          <w:sz w:val="22"/>
          <w:szCs w:val="22"/>
        </w:rPr>
        <w:t>Early reductions.</w:t>
      </w:r>
      <w:r w:rsidRPr="004D4C57">
        <w:rPr>
          <w:sz w:val="22"/>
          <w:szCs w:val="22"/>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3F210F" w:rsidRPr="004D4C57" w:rsidRDefault="003F210F" w:rsidP="004D4C57">
      <w:pPr>
        <w:pStyle w:val="NormalWeb"/>
        <w:rPr>
          <w:sz w:val="22"/>
          <w:szCs w:val="22"/>
        </w:rPr>
      </w:pPr>
      <w:r w:rsidRPr="004D4C57">
        <w:rPr>
          <w:sz w:val="22"/>
          <w:szCs w:val="22"/>
        </w:rPr>
        <w:t xml:space="preserve">(ii) </w:t>
      </w:r>
      <w:r w:rsidRPr="004D4C57">
        <w:rPr>
          <w:i/>
          <w:iCs/>
          <w:sz w:val="22"/>
          <w:szCs w:val="22"/>
        </w:rPr>
        <w:t>Other reductions.</w:t>
      </w:r>
      <w:r w:rsidRPr="004D4C57">
        <w:rPr>
          <w:sz w:val="22"/>
          <w:szCs w:val="22"/>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3F210F" w:rsidRPr="004D4C57" w:rsidRDefault="003F210F" w:rsidP="004D4C57">
      <w:pPr>
        <w:pStyle w:val="NormalWeb"/>
        <w:rPr>
          <w:sz w:val="22"/>
          <w:szCs w:val="22"/>
        </w:rPr>
      </w:pPr>
      <w:r w:rsidRPr="004D4C57">
        <w:rPr>
          <w:sz w:val="22"/>
          <w:szCs w:val="22"/>
        </w:rPr>
        <w:t xml:space="preserve">(3) </w:t>
      </w:r>
      <w:r w:rsidRPr="004D4C57">
        <w:rPr>
          <w:i/>
          <w:iCs/>
          <w:sz w:val="22"/>
          <w:szCs w:val="22"/>
        </w:rPr>
        <w:t>Request for extension of compliance.</w:t>
      </w:r>
      <w:r w:rsidRPr="004D4C57">
        <w:rPr>
          <w:sz w:val="22"/>
          <w:szCs w:val="22"/>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3F210F" w:rsidRPr="004D4C57" w:rsidRDefault="003F210F" w:rsidP="004D4C57">
      <w:pPr>
        <w:pStyle w:val="NormalWeb"/>
        <w:rPr>
          <w:sz w:val="22"/>
          <w:szCs w:val="22"/>
        </w:rPr>
      </w:pPr>
      <w:r w:rsidRPr="004D4C57">
        <w:rPr>
          <w:sz w:val="22"/>
          <w:szCs w:val="22"/>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w:t>
      </w:r>
      <w:proofErr w:type="gramStart"/>
      <w:r w:rsidRPr="004D4C57">
        <w:rPr>
          <w:sz w:val="22"/>
          <w:szCs w:val="22"/>
        </w:rPr>
        <w:t>in order to</w:t>
      </w:r>
      <w:proofErr w:type="gramEnd"/>
      <w:r w:rsidRPr="004D4C57">
        <w:rPr>
          <w:sz w:val="22"/>
          <w:szCs w:val="22"/>
        </w:rPr>
        <w:t xml:space="preserve">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w:t>
      </w:r>
      <w:proofErr w:type="gramStart"/>
      <w:r w:rsidRPr="004D4C57">
        <w:rPr>
          <w:sz w:val="22"/>
          <w:szCs w:val="22"/>
        </w:rPr>
        <w:t>title</w:t>
      </w:r>
      <w:proofErr w:type="gramEnd"/>
      <w:r w:rsidRPr="004D4C57">
        <w:rPr>
          <w:sz w:val="22"/>
          <w:szCs w:val="22"/>
        </w:rPr>
        <w:t xml:space="preserve"> V regulations in this chapter (42 U.S.C. 7661), whichever are applicable. </w:t>
      </w:r>
    </w:p>
    <w:p w:rsidR="003F210F" w:rsidRPr="004D4C57" w:rsidRDefault="003F210F" w:rsidP="004D4C57">
      <w:pPr>
        <w:pStyle w:val="NormalWeb"/>
        <w:rPr>
          <w:sz w:val="22"/>
          <w:szCs w:val="22"/>
        </w:rPr>
      </w:pPr>
      <w:r w:rsidRPr="004D4C57">
        <w:rPr>
          <w:sz w:val="22"/>
          <w:szCs w:val="22"/>
        </w:rPr>
        <w:t xml:space="preserve">(B) Any request under this paragraph for an extension of compliance with a relevant standard must be submitted in writing to the appropriate authority no later than 120 days prior to the affected source's compliance </w:t>
      </w:r>
      <w:r w:rsidRPr="004D4C57">
        <w:rPr>
          <w:sz w:val="22"/>
          <w:szCs w:val="22"/>
        </w:rPr>
        <w:lastRenderedPageBreak/>
        <w:t xml:space="preserve">date (as specified in paragraphs (b) and (c) of this section), except as provided for in paragraph (i)(4)(i)(C) of this section. Nonfrivolous requests submitted under this paragraph will stay the applicability of the rule as to the emission points in question </w:t>
      </w:r>
      <w:proofErr w:type="gramStart"/>
      <w:r w:rsidRPr="004D4C57">
        <w:rPr>
          <w:sz w:val="22"/>
          <w:szCs w:val="22"/>
        </w:rPr>
        <w:t>until such time as</w:t>
      </w:r>
      <w:proofErr w:type="gramEnd"/>
      <w:r w:rsidRPr="004D4C57">
        <w:rPr>
          <w:sz w:val="22"/>
          <w:szCs w:val="22"/>
        </w:rPr>
        <w:t xml:space="preserve">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3F210F" w:rsidRPr="004D4C57" w:rsidRDefault="003F210F" w:rsidP="004D4C57">
      <w:pPr>
        <w:pStyle w:val="NormalWeb"/>
        <w:rPr>
          <w:sz w:val="22"/>
          <w:szCs w:val="22"/>
        </w:rPr>
      </w:pPr>
      <w:r w:rsidRPr="004D4C57">
        <w:rPr>
          <w:sz w:val="22"/>
          <w:szCs w:val="22"/>
        </w:rPr>
        <w:t xml:space="preserve">(C)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w:t>
      </w:r>
      <w:proofErr w:type="gramStart"/>
      <w:r w:rsidRPr="004D4C57">
        <w:rPr>
          <w:sz w:val="22"/>
          <w:szCs w:val="22"/>
        </w:rPr>
        <w:t>until such time as</w:t>
      </w:r>
      <w:proofErr w:type="gramEnd"/>
      <w:r w:rsidRPr="004D4C57">
        <w:rPr>
          <w:sz w:val="22"/>
          <w:szCs w:val="22"/>
        </w:rPr>
        <w:t xml:space="preserve"> the request is granted or denied. A denial will be effective as of the original compliance date.</w:t>
      </w:r>
    </w:p>
    <w:p w:rsidR="003F210F" w:rsidRPr="004D4C57" w:rsidRDefault="003F210F" w:rsidP="004D4C57">
      <w:pPr>
        <w:pStyle w:val="NormalWeb"/>
        <w:rPr>
          <w:sz w:val="22"/>
          <w:szCs w:val="22"/>
        </w:rPr>
      </w:pPr>
      <w:r w:rsidRPr="004D4C57">
        <w:rPr>
          <w:sz w:val="22"/>
          <w:szCs w:val="22"/>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3F210F" w:rsidRPr="004D4C57" w:rsidRDefault="003F210F" w:rsidP="004D4C57">
      <w:pPr>
        <w:pStyle w:val="NormalWeb"/>
        <w:rPr>
          <w:sz w:val="22"/>
          <w:szCs w:val="22"/>
        </w:rPr>
      </w:pPr>
      <w:r w:rsidRPr="004D4C57">
        <w:rPr>
          <w:sz w:val="22"/>
          <w:szCs w:val="22"/>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3F210F" w:rsidRPr="004D4C57" w:rsidRDefault="003F210F" w:rsidP="004D4C57">
      <w:pPr>
        <w:pStyle w:val="NormalWeb"/>
        <w:rPr>
          <w:sz w:val="22"/>
          <w:szCs w:val="22"/>
        </w:rPr>
      </w:pPr>
      <w:r w:rsidRPr="004D4C57">
        <w:rPr>
          <w:sz w:val="22"/>
          <w:szCs w:val="22"/>
        </w:rPr>
        <w:t xml:space="preserve">(6)(i) The request for a compliance extension under paragraph (i)(4) of this section shall include the following information: </w:t>
      </w:r>
    </w:p>
    <w:p w:rsidR="003F210F" w:rsidRPr="004D4C57" w:rsidRDefault="003F210F" w:rsidP="004D4C57">
      <w:pPr>
        <w:pStyle w:val="NormalWeb"/>
        <w:rPr>
          <w:sz w:val="22"/>
          <w:szCs w:val="22"/>
        </w:rPr>
      </w:pPr>
      <w:r w:rsidRPr="004D4C57">
        <w:rPr>
          <w:sz w:val="22"/>
          <w:szCs w:val="22"/>
        </w:rPr>
        <w:t xml:space="preserve">(A) A description of the controls to be installed to comply with the standard; </w:t>
      </w:r>
    </w:p>
    <w:p w:rsidR="003F210F" w:rsidRPr="004D4C57" w:rsidRDefault="003F210F" w:rsidP="004D4C57">
      <w:pPr>
        <w:pStyle w:val="NormalWeb"/>
        <w:rPr>
          <w:sz w:val="22"/>
          <w:szCs w:val="22"/>
        </w:rPr>
      </w:pPr>
      <w:r w:rsidRPr="004D4C57">
        <w:rPr>
          <w:sz w:val="22"/>
          <w:szCs w:val="22"/>
        </w:rPr>
        <w:t xml:space="preserve">(B) A compliance schedule, including the date by which each step toward compliance will be reached. At a minimum, the list of dates shall include: </w:t>
      </w:r>
    </w:p>
    <w:p w:rsidR="003F210F" w:rsidRPr="004D4C57" w:rsidRDefault="003F210F" w:rsidP="004D4C57">
      <w:pPr>
        <w:pStyle w:val="NormalWeb"/>
        <w:rPr>
          <w:sz w:val="22"/>
          <w:szCs w:val="22"/>
        </w:rPr>
      </w:pPr>
      <w:r w:rsidRPr="004D4C57">
        <w:rPr>
          <w:sz w:val="22"/>
          <w:szCs w:val="22"/>
        </w:rPr>
        <w:t>(</w:t>
      </w:r>
      <w:r w:rsidRPr="004D4C57">
        <w:rPr>
          <w:i/>
          <w:iCs/>
          <w:sz w:val="22"/>
          <w:szCs w:val="22"/>
        </w:rPr>
        <w:t>1</w:t>
      </w:r>
      <w:r w:rsidRPr="004D4C57">
        <w:rPr>
          <w:sz w:val="22"/>
          <w:szCs w:val="22"/>
        </w:rPr>
        <w:t xml:space="preserve">) The date by which on-site construction, installation of emission control equipment, or a process change is planned to be initiated; and </w:t>
      </w:r>
    </w:p>
    <w:p w:rsidR="003F210F" w:rsidRPr="004D4C57" w:rsidRDefault="003F210F" w:rsidP="004D4C57">
      <w:pPr>
        <w:pStyle w:val="NormalWeb"/>
        <w:rPr>
          <w:sz w:val="22"/>
          <w:szCs w:val="22"/>
        </w:rPr>
      </w:pPr>
      <w:r w:rsidRPr="004D4C57">
        <w:rPr>
          <w:sz w:val="22"/>
          <w:szCs w:val="22"/>
        </w:rPr>
        <w:t>(</w:t>
      </w:r>
      <w:r w:rsidRPr="004D4C57">
        <w:rPr>
          <w:i/>
          <w:iCs/>
          <w:sz w:val="22"/>
          <w:szCs w:val="22"/>
        </w:rPr>
        <w:t>2</w:t>
      </w:r>
      <w:r w:rsidRPr="004D4C57">
        <w:rPr>
          <w:sz w:val="22"/>
          <w:szCs w:val="22"/>
        </w:rPr>
        <w:t xml:space="preserve">) The date by which final compliance is to be achieved. </w:t>
      </w:r>
    </w:p>
    <w:p w:rsidR="003F210F" w:rsidRPr="004D4C57" w:rsidRDefault="003F210F" w:rsidP="004D4C57">
      <w:pPr>
        <w:pStyle w:val="NormalWeb"/>
        <w:rPr>
          <w:sz w:val="22"/>
          <w:szCs w:val="22"/>
        </w:rPr>
      </w:pPr>
      <w:r w:rsidRPr="004D4C57">
        <w:rPr>
          <w:sz w:val="22"/>
          <w:szCs w:val="22"/>
        </w:rPr>
        <w:lastRenderedPageBreak/>
        <w:t>(</w:t>
      </w:r>
      <w:r w:rsidRPr="004D4C57">
        <w:rPr>
          <w:i/>
          <w:iCs/>
          <w:sz w:val="22"/>
          <w:szCs w:val="22"/>
        </w:rPr>
        <w:t>3</w:t>
      </w:r>
      <w:r w:rsidRPr="004D4C57">
        <w:rPr>
          <w:sz w:val="22"/>
          <w:szCs w:val="22"/>
        </w:rPr>
        <w:t xml:space="preserve">) The date by which on-site construction, installation of emission control equipment, or a process change is to be completed; and </w:t>
      </w:r>
    </w:p>
    <w:p w:rsidR="003F210F" w:rsidRPr="004D4C57" w:rsidRDefault="003F210F" w:rsidP="004D4C57">
      <w:pPr>
        <w:pStyle w:val="NormalWeb"/>
        <w:rPr>
          <w:sz w:val="22"/>
          <w:szCs w:val="22"/>
        </w:rPr>
      </w:pPr>
      <w:r w:rsidRPr="004D4C57">
        <w:rPr>
          <w:sz w:val="22"/>
          <w:szCs w:val="22"/>
        </w:rPr>
        <w:t>(</w:t>
      </w:r>
      <w:r w:rsidRPr="004D4C57">
        <w:rPr>
          <w:i/>
          <w:iCs/>
          <w:sz w:val="22"/>
          <w:szCs w:val="22"/>
        </w:rPr>
        <w:t>4</w:t>
      </w:r>
      <w:r w:rsidRPr="004D4C57">
        <w:rPr>
          <w:sz w:val="22"/>
          <w:szCs w:val="22"/>
        </w:rPr>
        <w:t>) The date by which final compliance is to be achieved;</w:t>
      </w:r>
    </w:p>
    <w:p w:rsidR="003F210F" w:rsidRPr="004D4C57" w:rsidRDefault="003F210F" w:rsidP="004D4C57">
      <w:pPr>
        <w:pStyle w:val="NormalWeb"/>
        <w:rPr>
          <w:sz w:val="22"/>
          <w:szCs w:val="22"/>
        </w:rPr>
      </w:pPr>
      <w:r w:rsidRPr="004D4C57">
        <w:rPr>
          <w:sz w:val="22"/>
          <w:szCs w:val="22"/>
        </w:rPr>
        <w:t xml:space="preserve">(C)-(D) </w:t>
      </w:r>
    </w:p>
    <w:p w:rsidR="003F210F" w:rsidRPr="004D4C57" w:rsidRDefault="003F210F" w:rsidP="004D4C57">
      <w:pPr>
        <w:pStyle w:val="NormalWeb"/>
        <w:rPr>
          <w:sz w:val="22"/>
          <w:szCs w:val="22"/>
        </w:rPr>
      </w:pPr>
      <w:r w:rsidRPr="004D4C57">
        <w:rPr>
          <w:sz w:val="22"/>
          <w:szCs w:val="22"/>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3F210F" w:rsidRPr="004D4C57" w:rsidRDefault="003F210F" w:rsidP="004D4C57">
      <w:pPr>
        <w:pStyle w:val="NormalWeb"/>
        <w:rPr>
          <w:sz w:val="22"/>
          <w:szCs w:val="22"/>
        </w:rPr>
      </w:pPr>
      <w:r w:rsidRPr="004D4C57">
        <w:rPr>
          <w:sz w:val="22"/>
          <w:szCs w:val="22"/>
        </w:rPr>
        <w:t>(7) Advice on requesting an extension of compliance may be obtained from the Administrator (or the State with an approved permit program).</w:t>
      </w:r>
    </w:p>
    <w:p w:rsidR="003F210F" w:rsidRPr="004D4C57" w:rsidRDefault="003F210F" w:rsidP="004D4C57">
      <w:pPr>
        <w:pStyle w:val="NormalWeb"/>
        <w:rPr>
          <w:sz w:val="22"/>
          <w:szCs w:val="22"/>
        </w:rPr>
      </w:pPr>
      <w:r w:rsidRPr="004D4C57">
        <w:rPr>
          <w:sz w:val="22"/>
          <w:szCs w:val="22"/>
        </w:rPr>
        <w:t xml:space="preserve">(8) </w:t>
      </w:r>
      <w:r w:rsidRPr="004D4C57">
        <w:rPr>
          <w:i/>
          <w:iCs/>
          <w:sz w:val="22"/>
          <w:szCs w:val="22"/>
        </w:rPr>
        <w:t>Approval of request for extension of compliance.</w:t>
      </w:r>
      <w:r w:rsidRPr="004D4C57">
        <w:rPr>
          <w:sz w:val="22"/>
          <w:szCs w:val="22"/>
        </w:rPr>
        <w:t xml:space="preserve"> Paragraphs (i)(9) through (i</w:t>
      </w:r>
      <w:proofErr w:type="gramStart"/>
      <w:r w:rsidRPr="004D4C57">
        <w:rPr>
          <w:sz w:val="22"/>
          <w:szCs w:val="22"/>
        </w:rPr>
        <w:t>)(</w:t>
      </w:r>
      <w:proofErr w:type="gramEnd"/>
      <w:r w:rsidRPr="004D4C57">
        <w:rPr>
          <w:sz w:val="22"/>
          <w:szCs w:val="22"/>
        </w:rPr>
        <w:t>14) of this section concern approval of an extension of compliance requested under paragraphs (i)(4) through (i)(6) of this section.</w:t>
      </w:r>
    </w:p>
    <w:p w:rsidR="003F210F" w:rsidRPr="004D4C57" w:rsidRDefault="003F210F" w:rsidP="004D4C57">
      <w:pPr>
        <w:pStyle w:val="NormalWeb"/>
        <w:rPr>
          <w:sz w:val="22"/>
          <w:szCs w:val="22"/>
        </w:rPr>
      </w:pPr>
      <w:r w:rsidRPr="004D4C57">
        <w:rPr>
          <w:sz w:val="22"/>
          <w:szCs w:val="22"/>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3F210F" w:rsidRPr="004D4C57" w:rsidRDefault="003F210F" w:rsidP="004D4C57">
      <w:pPr>
        <w:pStyle w:val="NormalWeb"/>
        <w:rPr>
          <w:sz w:val="22"/>
          <w:szCs w:val="22"/>
        </w:rPr>
      </w:pPr>
      <w:r w:rsidRPr="004D4C57">
        <w:rPr>
          <w:sz w:val="22"/>
          <w:szCs w:val="22"/>
        </w:rPr>
        <w:t>(10) The extension will be in writing and will—</w:t>
      </w:r>
    </w:p>
    <w:p w:rsidR="003F210F" w:rsidRPr="004D4C57" w:rsidRDefault="003F210F" w:rsidP="004D4C57">
      <w:pPr>
        <w:pStyle w:val="NormalWeb"/>
        <w:rPr>
          <w:sz w:val="22"/>
          <w:szCs w:val="22"/>
        </w:rPr>
      </w:pPr>
      <w:r w:rsidRPr="004D4C57">
        <w:rPr>
          <w:sz w:val="22"/>
          <w:szCs w:val="22"/>
        </w:rPr>
        <w:t>(i) Identify each affected source covered by the extension;</w:t>
      </w:r>
    </w:p>
    <w:p w:rsidR="003F210F" w:rsidRPr="004D4C57" w:rsidRDefault="003F210F" w:rsidP="004D4C57">
      <w:pPr>
        <w:pStyle w:val="NormalWeb"/>
        <w:rPr>
          <w:sz w:val="22"/>
          <w:szCs w:val="22"/>
        </w:rPr>
      </w:pPr>
      <w:r w:rsidRPr="004D4C57">
        <w:rPr>
          <w:sz w:val="22"/>
          <w:szCs w:val="22"/>
        </w:rPr>
        <w:t>(ii) Specify the termination date of the extension;</w:t>
      </w:r>
    </w:p>
    <w:p w:rsidR="003F210F" w:rsidRPr="004D4C57" w:rsidRDefault="003F210F" w:rsidP="004D4C57">
      <w:pPr>
        <w:pStyle w:val="NormalWeb"/>
        <w:rPr>
          <w:sz w:val="22"/>
          <w:szCs w:val="22"/>
        </w:rPr>
      </w:pPr>
      <w:r w:rsidRPr="004D4C57">
        <w:rPr>
          <w:sz w:val="22"/>
          <w:szCs w:val="22"/>
        </w:rPr>
        <w:t>(iii) Specify the dates by which steps toward compliance are to be taken, if appropriate;</w:t>
      </w:r>
    </w:p>
    <w:p w:rsidR="003F210F" w:rsidRPr="004D4C57" w:rsidRDefault="003F210F" w:rsidP="004D4C57">
      <w:pPr>
        <w:pStyle w:val="NormalWeb"/>
        <w:rPr>
          <w:sz w:val="22"/>
          <w:szCs w:val="22"/>
        </w:rPr>
      </w:pPr>
      <w:r w:rsidRPr="004D4C57">
        <w:rPr>
          <w:sz w:val="22"/>
          <w:szCs w:val="22"/>
        </w:rPr>
        <w:t>(iv) Specify other applicable requirements to which the compliance extension applies (e.g., performance tests); and</w:t>
      </w:r>
    </w:p>
    <w:p w:rsidR="003F210F" w:rsidRPr="004D4C57" w:rsidRDefault="003F210F" w:rsidP="004D4C57">
      <w:pPr>
        <w:pStyle w:val="NormalWeb"/>
        <w:rPr>
          <w:sz w:val="22"/>
          <w:szCs w:val="22"/>
        </w:rPr>
      </w:pPr>
      <w:r w:rsidRPr="004D4C57">
        <w:rPr>
          <w:sz w:val="22"/>
          <w:szCs w:val="22"/>
        </w:rPr>
        <w:t>(v)(A) Under paragraph (i)(4), specify any additional conditions that the Administrator (or the State) deems necessary to assure installation of the necessary controls and protection of the health of persons during the extension period; or</w:t>
      </w:r>
    </w:p>
    <w:p w:rsidR="003F210F" w:rsidRPr="004D4C57" w:rsidRDefault="003F210F" w:rsidP="004D4C57">
      <w:pPr>
        <w:pStyle w:val="NormalWeb"/>
        <w:rPr>
          <w:sz w:val="22"/>
          <w:szCs w:val="22"/>
        </w:rPr>
      </w:pPr>
      <w:r w:rsidRPr="004D4C57">
        <w:rPr>
          <w:sz w:val="22"/>
          <w:szCs w:val="22"/>
        </w:rPr>
        <w:t>(B) Under paragraph (i)(5), specify any additional conditions that the Administrator deems necessary to assure the proper operation and maintenance of the installed controls during the extension period.</w:t>
      </w:r>
    </w:p>
    <w:p w:rsidR="003F210F" w:rsidRPr="004D4C57" w:rsidRDefault="003F210F" w:rsidP="004D4C57">
      <w:pPr>
        <w:pStyle w:val="NormalWeb"/>
        <w:rPr>
          <w:sz w:val="22"/>
          <w:szCs w:val="22"/>
        </w:rPr>
      </w:pPr>
      <w:r w:rsidRPr="004D4C57">
        <w:rPr>
          <w:sz w:val="22"/>
          <w:szCs w:val="22"/>
        </w:rPr>
        <w:t>(11) The owner or operator of an existing source that has been granted an extension of compliance under paragraph (i</w:t>
      </w:r>
      <w:proofErr w:type="gramStart"/>
      <w:r w:rsidRPr="004D4C57">
        <w:rPr>
          <w:sz w:val="22"/>
          <w:szCs w:val="22"/>
        </w:rPr>
        <w:t>)(</w:t>
      </w:r>
      <w:proofErr w:type="gramEnd"/>
      <w:r w:rsidRPr="004D4C57">
        <w:rPr>
          <w:sz w:val="22"/>
          <w:szCs w:val="22"/>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w:t>
      </w:r>
      <w:proofErr w:type="gramStart"/>
      <w:r w:rsidRPr="004D4C57">
        <w:rPr>
          <w:sz w:val="22"/>
          <w:szCs w:val="22"/>
        </w:rPr>
        <w:t>)(</w:t>
      </w:r>
      <w:proofErr w:type="gramEnd"/>
      <w:r w:rsidRPr="004D4C57">
        <w:rPr>
          <w:sz w:val="22"/>
          <w:szCs w:val="22"/>
        </w:rPr>
        <w:t>10) of this section.</w:t>
      </w:r>
    </w:p>
    <w:p w:rsidR="003F210F" w:rsidRPr="004D4C57" w:rsidRDefault="003F210F" w:rsidP="004D4C57">
      <w:pPr>
        <w:pStyle w:val="NormalWeb"/>
        <w:rPr>
          <w:sz w:val="22"/>
          <w:szCs w:val="22"/>
        </w:rPr>
      </w:pPr>
      <w:r w:rsidRPr="004D4C57">
        <w:rPr>
          <w:sz w:val="22"/>
          <w:szCs w:val="22"/>
        </w:rPr>
        <w:t>(</w:t>
      </w:r>
      <w:proofErr w:type="gramStart"/>
      <w:r w:rsidRPr="004D4C57">
        <w:rPr>
          <w:sz w:val="22"/>
          <w:szCs w:val="22"/>
        </w:rPr>
        <w:t>12)(</w:t>
      </w:r>
      <w:proofErr w:type="gramEnd"/>
      <w:r w:rsidRPr="004D4C57">
        <w:rPr>
          <w:sz w:val="22"/>
          <w:szCs w:val="22"/>
        </w:rPr>
        <w:t xml:space="preserve">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w:t>
      </w:r>
      <w:r w:rsidRPr="004D4C57">
        <w:rPr>
          <w:sz w:val="22"/>
          <w:szCs w:val="22"/>
        </w:rPr>
        <w:lastRenderedPageBreak/>
        <w:t xml:space="preserve">(i)(5) of this section. The Administrator (or the State) will notify the owner or operator in writing of the status of his/her application, that is, whether the application contains sufficient information to </w:t>
      </w:r>
      <w:proofErr w:type="gramStart"/>
      <w:r w:rsidRPr="004D4C57">
        <w:rPr>
          <w:sz w:val="22"/>
          <w:szCs w:val="22"/>
        </w:rPr>
        <w:t>make a determination</w:t>
      </w:r>
      <w:proofErr w:type="gramEnd"/>
      <w:r w:rsidRPr="004D4C57">
        <w:rPr>
          <w:sz w:val="22"/>
          <w:szCs w:val="22"/>
        </w:rPr>
        <w:t>,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3F210F" w:rsidRPr="004D4C57" w:rsidRDefault="003F210F" w:rsidP="004D4C57">
      <w:pPr>
        <w:pStyle w:val="NormalWeb"/>
        <w:rPr>
          <w:sz w:val="22"/>
          <w:szCs w:val="22"/>
        </w:rPr>
      </w:pPr>
      <w:r w:rsidRPr="004D4C57">
        <w:rPr>
          <w:sz w:val="22"/>
          <w:szCs w:val="22"/>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3F210F" w:rsidRPr="004D4C57" w:rsidRDefault="003F210F" w:rsidP="004D4C57">
      <w:pPr>
        <w:pStyle w:val="NormalWeb"/>
        <w:rPr>
          <w:sz w:val="22"/>
          <w:szCs w:val="22"/>
        </w:rPr>
      </w:pPr>
      <w:r w:rsidRPr="004D4C57">
        <w:rPr>
          <w:sz w:val="22"/>
          <w:szCs w:val="22"/>
        </w:rPr>
        <w:t>(iii) Before denying any request for an extension of compliance, the Administrator (or the State with an approved permit program) will notify the owner or operator in writing of the Administrator's (or the State's) intention to issue the denial, together with—</w:t>
      </w:r>
    </w:p>
    <w:p w:rsidR="003F210F" w:rsidRPr="004D4C57" w:rsidRDefault="003F210F" w:rsidP="004D4C57">
      <w:pPr>
        <w:pStyle w:val="NormalWeb"/>
        <w:rPr>
          <w:sz w:val="22"/>
          <w:szCs w:val="22"/>
        </w:rPr>
      </w:pPr>
      <w:r w:rsidRPr="004D4C57">
        <w:rPr>
          <w:sz w:val="22"/>
          <w:szCs w:val="22"/>
        </w:rPr>
        <w:t>(A) Notice of the information and findings on which the intended denial is based; and</w:t>
      </w:r>
    </w:p>
    <w:p w:rsidR="003F210F" w:rsidRPr="004D4C57" w:rsidRDefault="003F210F" w:rsidP="004D4C57">
      <w:pPr>
        <w:pStyle w:val="NormalWeb"/>
        <w:rPr>
          <w:sz w:val="22"/>
          <w:szCs w:val="22"/>
        </w:rPr>
      </w:pPr>
      <w:r w:rsidRPr="004D4C57">
        <w:rPr>
          <w:sz w:val="22"/>
          <w:szCs w:val="22"/>
        </w:rPr>
        <w:t>(B) Notice of opportunity for the owner or operator to present in writing, within 15 calendar days after he/she is notified of the intended denial, additional information or arguments to the Administrator (or the State) before further action on the request.</w:t>
      </w:r>
    </w:p>
    <w:p w:rsidR="003F210F" w:rsidRPr="004D4C57" w:rsidRDefault="003F210F" w:rsidP="004D4C57">
      <w:pPr>
        <w:pStyle w:val="NormalWeb"/>
        <w:rPr>
          <w:sz w:val="22"/>
          <w:szCs w:val="22"/>
        </w:rPr>
      </w:pPr>
      <w:r w:rsidRPr="004D4C57">
        <w:rPr>
          <w:sz w:val="22"/>
          <w:szCs w:val="22"/>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3F210F" w:rsidRPr="004D4C57" w:rsidRDefault="003F210F" w:rsidP="004D4C57">
      <w:pPr>
        <w:pStyle w:val="NormalWeb"/>
        <w:rPr>
          <w:sz w:val="22"/>
          <w:szCs w:val="22"/>
        </w:rPr>
      </w:pPr>
      <w:r w:rsidRPr="004D4C57">
        <w:rPr>
          <w:sz w:val="22"/>
          <w:szCs w:val="22"/>
        </w:rPr>
        <w:t>(</w:t>
      </w:r>
      <w:proofErr w:type="gramStart"/>
      <w:r w:rsidRPr="004D4C57">
        <w:rPr>
          <w:sz w:val="22"/>
          <w:szCs w:val="22"/>
        </w:rPr>
        <w:t>13)(</w:t>
      </w:r>
      <w:proofErr w:type="gramEnd"/>
      <w:r w:rsidRPr="004D4C57">
        <w:rPr>
          <w:sz w:val="22"/>
          <w:szCs w:val="22"/>
        </w:rPr>
        <w:t xml:space="preserve">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w:t>
      </w:r>
      <w:proofErr w:type="gramStart"/>
      <w:r w:rsidRPr="004D4C57">
        <w:rPr>
          <w:sz w:val="22"/>
          <w:szCs w:val="22"/>
        </w:rPr>
        <w:t>make a determination</w:t>
      </w:r>
      <w:proofErr w:type="gramEnd"/>
      <w:r w:rsidRPr="004D4C57">
        <w:rPr>
          <w:sz w:val="22"/>
          <w:szCs w:val="22"/>
        </w:rPr>
        <w:t>, within 15 calendar days after receipt of the original application and within 15 calendar days after receipt of any supplementary information that is submitted.</w:t>
      </w:r>
    </w:p>
    <w:p w:rsidR="003F210F" w:rsidRPr="004D4C57" w:rsidRDefault="003F210F" w:rsidP="004D4C57">
      <w:pPr>
        <w:pStyle w:val="NormalWeb"/>
        <w:rPr>
          <w:sz w:val="22"/>
          <w:szCs w:val="22"/>
        </w:rPr>
      </w:pPr>
      <w:r w:rsidRPr="004D4C57">
        <w:rPr>
          <w:sz w:val="22"/>
          <w:szCs w:val="22"/>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3F210F" w:rsidRPr="004D4C57" w:rsidRDefault="003F210F" w:rsidP="004D4C57">
      <w:pPr>
        <w:pStyle w:val="NormalWeb"/>
        <w:rPr>
          <w:sz w:val="22"/>
          <w:szCs w:val="22"/>
        </w:rPr>
      </w:pPr>
      <w:r w:rsidRPr="004D4C57">
        <w:rPr>
          <w:sz w:val="22"/>
          <w:szCs w:val="22"/>
        </w:rPr>
        <w:t>(iii) Before denying any request for an extension of compliance, the Administrator will notify the owner or operator in writing of the Administrator's intention to issue the denial, together with—</w:t>
      </w:r>
    </w:p>
    <w:p w:rsidR="003F210F" w:rsidRPr="004D4C57" w:rsidRDefault="003F210F" w:rsidP="004D4C57">
      <w:pPr>
        <w:pStyle w:val="NormalWeb"/>
        <w:rPr>
          <w:sz w:val="22"/>
          <w:szCs w:val="22"/>
        </w:rPr>
      </w:pPr>
      <w:r w:rsidRPr="004D4C57">
        <w:rPr>
          <w:sz w:val="22"/>
          <w:szCs w:val="22"/>
        </w:rPr>
        <w:t>(A) Notice of the information and findings on which the intended denial is based; and</w:t>
      </w:r>
    </w:p>
    <w:p w:rsidR="003F210F" w:rsidRPr="004D4C57" w:rsidRDefault="003F210F" w:rsidP="004D4C57">
      <w:pPr>
        <w:pStyle w:val="NormalWeb"/>
        <w:rPr>
          <w:sz w:val="22"/>
          <w:szCs w:val="22"/>
        </w:rPr>
      </w:pPr>
      <w:r w:rsidRPr="004D4C57">
        <w:rPr>
          <w:sz w:val="22"/>
          <w:szCs w:val="22"/>
        </w:rPr>
        <w:t>(B) Notice of opportunity for the owner or operator to present in writing, within 15 calendar days after he/she is notified of the intended denial, additional information or arguments to the Administrator before further action on the request.</w:t>
      </w:r>
    </w:p>
    <w:p w:rsidR="003F210F" w:rsidRPr="004D4C57" w:rsidRDefault="003F210F" w:rsidP="004D4C57">
      <w:pPr>
        <w:pStyle w:val="NormalWeb"/>
        <w:rPr>
          <w:sz w:val="22"/>
          <w:szCs w:val="22"/>
        </w:rPr>
      </w:pPr>
      <w:r w:rsidRPr="004D4C57">
        <w:rPr>
          <w:sz w:val="22"/>
          <w:szCs w:val="22"/>
        </w:rPr>
        <w:lastRenderedPageBreak/>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3F210F" w:rsidRPr="004D4C57" w:rsidRDefault="003F210F" w:rsidP="004D4C57">
      <w:pPr>
        <w:pStyle w:val="NormalWeb"/>
        <w:rPr>
          <w:sz w:val="22"/>
          <w:szCs w:val="22"/>
        </w:rPr>
      </w:pPr>
      <w:r w:rsidRPr="004D4C57">
        <w:rPr>
          <w:sz w:val="22"/>
          <w:szCs w:val="22"/>
        </w:rPr>
        <w:t>(14) The Administrator (or the State with an approved permit program) may terminate an extension of compliance at an earlier date than specified if any specification under paragraph (i)(</w:t>
      </w:r>
      <w:proofErr w:type="gramStart"/>
      <w:r w:rsidRPr="004D4C57">
        <w:rPr>
          <w:sz w:val="22"/>
          <w:szCs w:val="22"/>
        </w:rPr>
        <w:t>10)(</w:t>
      </w:r>
      <w:proofErr w:type="gramEnd"/>
      <w:r w:rsidRPr="004D4C57">
        <w:rPr>
          <w:sz w:val="22"/>
          <w:szCs w:val="22"/>
        </w:rPr>
        <w:t xml:space="preserve">iii) or (iv) of this section is not met. Upon a determination to terminate, the Administrator will notify, in writing, the owner or operator of the Administrator's determination to terminate, together with: </w:t>
      </w:r>
    </w:p>
    <w:p w:rsidR="003F210F" w:rsidRPr="004D4C57" w:rsidRDefault="003F210F" w:rsidP="004D4C57">
      <w:pPr>
        <w:pStyle w:val="NormalWeb"/>
        <w:rPr>
          <w:sz w:val="22"/>
          <w:szCs w:val="22"/>
        </w:rPr>
      </w:pPr>
      <w:r w:rsidRPr="004D4C57">
        <w:rPr>
          <w:sz w:val="22"/>
          <w:szCs w:val="22"/>
        </w:rPr>
        <w:t xml:space="preserve">(i) Notice of the reason for termination; and </w:t>
      </w:r>
    </w:p>
    <w:p w:rsidR="003F210F" w:rsidRPr="004D4C57" w:rsidRDefault="003F210F" w:rsidP="004D4C57">
      <w:pPr>
        <w:pStyle w:val="NormalWeb"/>
        <w:rPr>
          <w:sz w:val="22"/>
          <w:szCs w:val="22"/>
        </w:rPr>
      </w:pPr>
      <w:r w:rsidRPr="004D4C57">
        <w:rPr>
          <w:sz w:val="22"/>
          <w:szCs w:val="22"/>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3F210F" w:rsidRPr="004D4C57" w:rsidRDefault="003F210F" w:rsidP="004D4C57">
      <w:pPr>
        <w:pStyle w:val="NormalWeb"/>
        <w:rPr>
          <w:sz w:val="22"/>
          <w:szCs w:val="22"/>
        </w:rPr>
      </w:pPr>
      <w:r w:rsidRPr="004D4C57">
        <w:rPr>
          <w:sz w:val="22"/>
          <w:szCs w:val="22"/>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3F210F" w:rsidRPr="004D4C57" w:rsidRDefault="003F210F" w:rsidP="004D4C57">
      <w:pPr>
        <w:pStyle w:val="NormalWeb"/>
        <w:rPr>
          <w:sz w:val="22"/>
          <w:szCs w:val="22"/>
        </w:rPr>
      </w:pPr>
      <w:r w:rsidRPr="004D4C57">
        <w:rPr>
          <w:sz w:val="22"/>
          <w:szCs w:val="22"/>
        </w:rPr>
        <w:t>(15) [Reserved]</w:t>
      </w:r>
    </w:p>
    <w:p w:rsidR="003F210F" w:rsidRPr="004D4C57" w:rsidRDefault="003F210F" w:rsidP="004D4C57">
      <w:pPr>
        <w:pStyle w:val="NormalWeb"/>
        <w:rPr>
          <w:sz w:val="22"/>
          <w:szCs w:val="22"/>
        </w:rPr>
      </w:pPr>
      <w:r w:rsidRPr="004D4C57">
        <w:rPr>
          <w:sz w:val="22"/>
          <w:szCs w:val="22"/>
        </w:rPr>
        <w:t>(16) The granting of an extension under this section shall not abrogate the Administrator's authority under section 114 of the Act.</w:t>
      </w:r>
    </w:p>
    <w:p w:rsidR="003F210F" w:rsidRPr="004D4C57" w:rsidRDefault="003F210F" w:rsidP="004D4C57">
      <w:pPr>
        <w:pStyle w:val="NormalWeb"/>
        <w:rPr>
          <w:sz w:val="22"/>
          <w:szCs w:val="22"/>
        </w:rPr>
      </w:pPr>
      <w:r w:rsidRPr="004D4C57">
        <w:rPr>
          <w:sz w:val="22"/>
          <w:szCs w:val="22"/>
        </w:rPr>
        <w:t xml:space="preserve">(j) </w:t>
      </w:r>
      <w:r w:rsidRPr="004D4C57">
        <w:rPr>
          <w:i/>
          <w:iCs/>
          <w:sz w:val="22"/>
          <w:szCs w:val="22"/>
        </w:rPr>
        <w:t>Exemption from compliance with emission standards.</w:t>
      </w:r>
      <w:r w:rsidRPr="004D4C57">
        <w:rPr>
          <w:sz w:val="22"/>
          <w:szCs w:val="22"/>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3F210F" w:rsidRPr="004D4C57" w:rsidRDefault="003F210F" w:rsidP="004D4C57">
      <w:pPr>
        <w:pStyle w:val="cita"/>
        <w:rPr>
          <w:sz w:val="22"/>
          <w:szCs w:val="22"/>
        </w:rPr>
      </w:pPr>
      <w:r w:rsidRPr="004D4C57">
        <w:rPr>
          <w:sz w:val="22"/>
          <w:szCs w:val="22"/>
        </w:rPr>
        <w:t>[59 FR 12430, Mar. 16, 1994, as amended at 67 FR 16599, Apr. 5, 2002; 68 FR 32600, May 30, 2003; 71 FR 20454, Apr. 20, 2006]</w:t>
      </w:r>
    </w:p>
    <w:p w:rsidR="003F210F" w:rsidRPr="004D4C57" w:rsidRDefault="003F210F" w:rsidP="004D4C57">
      <w:pPr>
        <w:pStyle w:val="Heading2"/>
        <w:rPr>
          <w:rFonts w:ascii="Times New Roman" w:hAnsi="Times New Roman" w:cs="Times New Roman"/>
          <w:sz w:val="22"/>
          <w:szCs w:val="22"/>
        </w:rPr>
      </w:pPr>
      <w:bookmarkStart w:id="13" w:name="se40.11.63_17"/>
      <w:bookmarkEnd w:id="13"/>
      <w:r w:rsidRPr="004D4C57">
        <w:rPr>
          <w:rFonts w:ascii="Times New Roman" w:hAnsi="Times New Roman" w:cs="Times New Roman"/>
          <w:sz w:val="22"/>
          <w:szCs w:val="22"/>
        </w:rPr>
        <w:t>§63.7   Performance testing requirements.</w:t>
      </w:r>
    </w:p>
    <w:p w:rsidR="003F210F" w:rsidRPr="004D4C57" w:rsidRDefault="003F210F" w:rsidP="004D4C57">
      <w:pPr>
        <w:pStyle w:val="NormalWeb"/>
        <w:rPr>
          <w:sz w:val="22"/>
          <w:szCs w:val="22"/>
        </w:rPr>
      </w:pPr>
      <w:r w:rsidRPr="004D4C57">
        <w:rPr>
          <w:sz w:val="22"/>
          <w:szCs w:val="22"/>
        </w:rPr>
        <w:t xml:space="preserve">(a) </w:t>
      </w:r>
      <w:r w:rsidRPr="004D4C57">
        <w:rPr>
          <w:i/>
          <w:iCs/>
          <w:sz w:val="22"/>
          <w:szCs w:val="22"/>
        </w:rPr>
        <w:t>Applicability and performance test dates.</w:t>
      </w:r>
      <w:r w:rsidRPr="004D4C57">
        <w:rPr>
          <w:sz w:val="22"/>
          <w:szCs w:val="22"/>
        </w:rPr>
        <w:t xml:space="preserve"> (1) The applicability of this section is set out in §63.1(a)(4). </w:t>
      </w:r>
    </w:p>
    <w:p w:rsidR="003F210F" w:rsidRPr="004D4C57" w:rsidRDefault="003F210F" w:rsidP="004D4C57">
      <w:pPr>
        <w:pStyle w:val="NormalWeb"/>
        <w:rPr>
          <w:sz w:val="22"/>
          <w:szCs w:val="22"/>
        </w:rPr>
      </w:pPr>
      <w:r w:rsidRPr="004D4C57">
        <w:rPr>
          <w:sz w:val="22"/>
          <w:szCs w:val="22"/>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3F210F" w:rsidRPr="004D4C57" w:rsidRDefault="003F210F" w:rsidP="004D4C57">
      <w:pPr>
        <w:pStyle w:val="NormalWeb"/>
        <w:rPr>
          <w:sz w:val="22"/>
          <w:szCs w:val="22"/>
        </w:rPr>
      </w:pPr>
      <w:r w:rsidRPr="004D4C57">
        <w:rPr>
          <w:sz w:val="22"/>
          <w:szCs w:val="22"/>
        </w:rPr>
        <w:t xml:space="preserve">(i)-(viii) [Reserved] </w:t>
      </w:r>
    </w:p>
    <w:p w:rsidR="003F210F" w:rsidRPr="004D4C57" w:rsidRDefault="003F210F" w:rsidP="004D4C57">
      <w:pPr>
        <w:pStyle w:val="NormalWeb"/>
        <w:rPr>
          <w:sz w:val="22"/>
          <w:szCs w:val="22"/>
        </w:rPr>
      </w:pPr>
      <w:r w:rsidRPr="004D4C57">
        <w:rPr>
          <w:sz w:val="22"/>
          <w:szCs w:val="22"/>
        </w:rPr>
        <w:t xml:space="preserve">(ix)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w:t>
      </w:r>
      <w:r w:rsidRPr="004D4C57">
        <w:rPr>
          <w:sz w:val="22"/>
          <w:szCs w:val="22"/>
        </w:rPr>
        <w:lastRenderedPageBreak/>
        <w:t>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3F210F" w:rsidRPr="004D4C57" w:rsidRDefault="003F210F" w:rsidP="004D4C57">
      <w:pPr>
        <w:pStyle w:val="NormalWeb"/>
        <w:rPr>
          <w:sz w:val="22"/>
          <w:szCs w:val="22"/>
        </w:rPr>
      </w:pPr>
      <w:r w:rsidRPr="004D4C57">
        <w:rPr>
          <w:sz w:val="22"/>
          <w:szCs w:val="22"/>
        </w:rPr>
        <w:t xml:space="preserve">(3) The Administrator may require an owner or operator to conduct performance tests at the affected source at any other time when the action is authorized by section 114 of the Act. </w:t>
      </w:r>
    </w:p>
    <w:p w:rsidR="003F210F" w:rsidRPr="004D4C57" w:rsidRDefault="003F210F" w:rsidP="004D4C57">
      <w:pPr>
        <w:pStyle w:val="NormalWeb"/>
        <w:rPr>
          <w:sz w:val="22"/>
          <w:szCs w:val="22"/>
        </w:rPr>
      </w:pPr>
      <w:r w:rsidRPr="004D4C57">
        <w:rPr>
          <w:sz w:val="22"/>
          <w:szCs w:val="22"/>
        </w:rPr>
        <w:t>(4) If a force majeure is about to occur, occurs, or has occurred for which the affected owner or operator intends to assert a claim of force majeure:</w:t>
      </w:r>
    </w:p>
    <w:p w:rsidR="003F210F" w:rsidRPr="004D4C57" w:rsidRDefault="003F210F" w:rsidP="004D4C57">
      <w:pPr>
        <w:pStyle w:val="NormalWeb"/>
        <w:rPr>
          <w:sz w:val="22"/>
          <w:szCs w:val="22"/>
        </w:rPr>
      </w:pPr>
      <w:r w:rsidRPr="004D4C57">
        <w:rPr>
          <w:sz w:val="22"/>
          <w:szCs w:val="22"/>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3F210F" w:rsidRPr="004D4C57" w:rsidRDefault="003F210F" w:rsidP="004D4C57">
      <w:pPr>
        <w:pStyle w:val="NormalWeb"/>
        <w:rPr>
          <w:sz w:val="22"/>
          <w:szCs w:val="22"/>
        </w:rPr>
      </w:pPr>
      <w:r w:rsidRPr="004D4C57">
        <w:rPr>
          <w:sz w:val="22"/>
          <w:szCs w:val="22"/>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3F210F" w:rsidRPr="004D4C57" w:rsidRDefault="003F210F" w:rsidP="004D4C57">
      <w:pPr>
        <w:pStyle w:val="NormalWeb"/>
        <w:rPr>
          <w:sz w:val="22"/>
          <w:szCs w:val="22"/>
        </w:rPr>
      </w:pPr>
      <w:r w:rsidRPr="004D4C57">
        <w:rPr>
          <w:sz w:val="22"/>
          <w:szCs w:val="22"/>
        </w:rPr>
        <w:t xml:space="preserve">(iii) The decision as to </w:t>
      </w:r>
      <w:proofErr w:type="gramStart"/>
      <w:r w:rsidRPr="004D4C57">
        <w:rPr>
          <w:sz w:val="22"/>
          <w:szCs w:val="22"/>
        </w:rPr>
        <w:t>whether or not</w:t>
      </w:r>
      <w:proofErr w:type="gramEnd"/>
      <w:r w:rsidRPr="004D4C57">
        <w:rPr>
          <w:sz w:val="22"/>
          <w:szCs w:val="22"/>
        </w:rPr>
        <w:t xml:space="preserve"> to grant an extension to the performance test deadline is solely within the discretion of the Administrator. The Administrator will notify the owner or operator in writing of approval or disapproval of the request for an extension as soon as practicable.</w:t>
      </w:r>
    </w:p>
    <w:p w:rsidR="003F210F" w:rsidRPr="004D4C57" w:rsidRDefault="003F210F" w:rsidP="004D4C57">
      <w:pPr>
        <w:pStyle w:val="NormalWeb"/>
        <w:rPr>
          <w:sz w:val="22"/>
          <w:szCs w:val="22"/>
        </w:rPr>
      </w:pPr>
      <w:r w:rsidRPr="004D4C57">
        <w:rPr>
          <w:sz w:val="22"/>
          <w:szCs w:val="22"/>
        </w:rPr>
        <w:t>(iv) Until an extension of the performance test deadline has been approved by the Administrator under paragraphs (a)(4)(i), (a)(4)(ii), and (a)(4)(iii) of this section, the owner or operator of the affected facility remains strictly subject to the requirements of this part.</w:t>
      </w:r>
    </w:p>
    <w:p w:rsidR="003F210F" w:rsidRPr="004D4C57" w:rsidRDefault="003F210F" w:rsidP="004D4C57">
      <w:pPr>
        <w:pStyle w:val="NormalWeb"/>
        <w:rPr>
          <w:sz w:val="22"/>
          <w:szCs w:val="22"/>
        </w:rPr>
      </w:pPr>
      <w:r w:rsidRPr="004D4C57">
        <w:rPr>
          <w:sz w:val="22"/>
          <w:szCs w:val="22"/>
        </w:rPr>
        <w:t xml:space="preserve">(b) </w:t>
      </w:r>
      <w:r w:rsidRPr="004D4C57">
        <w:rPr>
          <w:i/>
          <w:iCs/>
          <w:sz w:val="22"/>
          <w:szCs w:val="22"/>
        </w:rPr>
        <w:t>Notification of performance test.</w:t>
      </w:r>
      <w:r w:rsidRPr="004D4C57">
        <w:rPr>
          <w:sz w:val="22"/>
          <w:szCs w:val="22"/>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rsidR="003F210F" w:rsidRPr="004D4C57" w:rsidRDefault="003F210F" w:rsidP="004D4C57">
      <w:pPr>
        <w:pStyle w:val="NormalWeb"/>
        <w:rPr>
          <w:sz w:val="22"/>
          <w:szCs w:val="22"/>
        </w:rPr>
      </w:pPr>
      <w:r w:rsidRPr="004D4C57">
        <w:rPr>
          <w:sz w:val="22"/>
          <w:szCs w:val="22"/>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3F210F" w:rsidRPr="004D4C57" w:rsidRDefault="003F210F" w:rsidP="004D4C57">
      <w:pPr>
        <w:pStyle w:val="NormalWeb"/>
        <w:rPr>
          <w:sz w:val="22"/>
          <w:szCs w:val="22"/>
        </w:rPr>
      </w:pPr>
      <w:r w:rsidRPr="004D4C57">
        <w:rPr>
          <w:sz w:val="22"/>
          <w:szCs w:val="22"/>
        </w:rPr>
        <w:lastRenderedPageBreak/>
        <w:t xml:space="preserve">(c) </w:t>
      </w:r>
      <w:r w:rsidRPr="004D4C57">
        <w:rPr>
          <w:i/>
          <w:iCs/>
          <w:sz w:val="22"/>
          <w:szCs w:val="22"/>
        </w:rPr>
        <w:t>Quality assurance program.</w:t>
      </w:r>
      <w:r w:rsidRPr="004D4C57">
        <w:rPr>
          <w:sz w:val="22"/>
          <w:szCs w:val="22"/>
        </w:rPr>
        <w:t xml:space="preserve"> (1) The results of the quality assurance program required in this paragraph will be considered by the Administrator when he/she determines the validity of a performance test. </w:t>
      </w:r>
    </w:p>
    <w:p w:rsidR="003F210F" w:rsidRPr="004D4C57" w:rsidRDefault="003F210F" w:rsidP="004D4C57">
      <w:pPr>
        <w:pStyle w:val="NormalWeb"/>
        <w:rPr>
          <w:sz w:val="22"/>
          <w:szCs w:val="22"/>
        </w:rPr>
      </w:pPr>
      <w:r w:rsidRPr="004D4C57">
        <w:rPr>
          <w:sz w:val="22"/>
          <w:szCs w:val="22"/>
        </w:rPr>
        <w:t xml:space="preserve">(2)(i) </w:t>
      </w:r>
      <w:r w:rsidRPr="004D4C57">
        <w:rPr>
          <w:i/>
          <w:iCs/>
          <w:sz w:val="22"/>
          <w:szCs w:val="22"/>
        </w:rPr>
        <w:t>Submission of site-specific test plan.</w:t>
      </w:r>
      <w:r w:rsidRPr="004D4C57">
        <w:rPr>
          <w:sz w:val="22"/>
          <w:szCs w:val="22"/>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3F210F" w:rsidRPr="004D4C57" w:rsidRDefault="003F210F" w:rsidP="004D4C57">
      <w:pPr>
        <w:pStyle w:val="NormalWeb"/>
        <w:rPr>
          <w:sz w:val="22"/>
          <w:szCs w:val="22"/>
        </w:rPr>
      </w:pPr>
      <w:r w:rsidRPr="004D4C57">
        <w:rPr>
          <w:sz w:val="22"/>
          <w:szCs w:val="22"/>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3F210F" w:rsidRPr="004D4C57" w:rsidRDefault="003F210F" w:rsidP="004D4C57">
      <w:pPr>
        <w:pStyle w:val="NormalWeb"/>
        <w:rPr>
          <w:sz w:val="22"/>
          <w:szCs w:val="22"/>
        </w:rPr>
      </w:pPr>
      <w:r w:rsidRPr="004D4C57">
        <w:rPr>
          <w:sz w:val="22"/>
          <w:szCs w:val="22"/>
        </w:rPr>
        <w:t xml:space="preserve">(iii) The performance testing shall include a test method performance audit (PA) during the performance test. The PAs consist of blind audit samples supplied by an accredited audit sample provider and analyzed during the performance test </w:t>
      </w:r>
      <w:proofErr w:type="gramStart"/>
      <w:r w:rsidRPr="004D4C57">
        <w:rPr>
          <w:sz w:val="22"/>
          <w:szCs w:val="22"/>
        </w:rPr>
        <w:t>in order to</w:t>
      </w:r>
      <w:proofErr w:type="gramEnd"/>
      <w:r w:rsidRPr="004D4C57">
        <w:rPr>
          <w:sz w:val="22"/>
          <w:szCs w:val="22"/>
        </w:rPr>
        <w:t xml:space="preserve">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3F210F" w:rsidRPr="004D4C57" w:rsidRDefault="003F210F" w:rsidP="004D4C57">
      <w:pPr>
        <w:pStyle w:val="NormalWeb"/>
        <w:rPr>
          <w:sz w:val="22"/>
          <w:szCs w:val="22"/>
        </w:rPr>
      </w:pPr>
      <w:r w:rsidRPr="004D4C57">
        <w:rPr>
          <w:sz w:val="22"/>
          <w:szCs w:val="22"/>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w:t>
      </w:r>
      <w:r w:rsidRPr="004D4C57">
        <w:rPr>
          <w:sz w:val="22"/>
          <w:szCs w:val="22"/>
        </w:rPr>
        <w:lastRenderedPageBreak/>
        <w:t xml:space="preserve">find an audit sample for a specific method, the owner, operator, or representative shall consult the EPA Web site at the following URL, </w:t>
      </w:r>
      <w:r w:rsidRPr="004D4C57">
        <w:rPr>
          <w:i/>
          <w:iCs/>
          <w:sz w:val="22"/>
          <w:szCs w:val="22"/>
        </w:rPr>
        <w:t>www.epa.gov/ttn/emc,</w:t>
      </w:r>
      <w:r w:rsidRPr="004D4C57">
        <w:rPr>
          <w:sz w:val="22"/>
          <w:szCs w:val="22"/>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3F210F" w:rsidRPr="004D4C57" w:rsidRDefault="003F210F" w:rsidP="004D4C57">
      <w:pPr>
        <w:pStyle w:val="NormalWeb"/>
        <w:rPr>
          <w:sz w:val="22"/>
          <w:szCs w:val="22"/>
        </w:rPr>
      </w:pPr>
      <w:r w:rsidRPr="004D4C57">
        <w:rPr>
          <w:sz w:val="22"/>
          <w:szCs w:val="22"/>
        </w:rPr>
        <w:t xml:space="preserve">(B)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w:t>
      </w:r>
      <w:proofErr w:type="gramStart"/>
      <w:r w:rsidRPr="004D4C57">
        <w:rPr>
          <w:sz w:val="22"/>
          <w:szCs w:val="22"/>
        </w:rPr>
        <w:t>all of</w:t>
      </w:r>
      <w:proofErr w:type="gramEnd"/>
      <w:r w:rsidRPr="004D4C57">
        <w:rPr>
          <w:sz w:val="22"/>
          <w:szCs w:val="22"/>
        </w:rPr>
        <w:t xml:space="preserve"> the following operations:</w:t>
      </w:r>
    </w:p>
    <w:p w:rsidR="003F210F" w:rsidRPr="004D4C57" w:rsidRDefault="003F210F" w:rsidP="004D4C57">
      <w:pPr>
        <w:pStyle w:val="NormalWeb"/>
        <w:rPr>
          <w:sz w:val="22"/>
          <w:szCs w:val="22"/>
        </w:rPr>
      </w:pPr>
      <w:r w:rsidRPr="004D4C57">
        <w:rPr>
          <w:sz w:val="22"/>
          <w:szCs w:val="22"/>
        </w:rPr>
        <w:t>(</w:t>
      </w:r>
      <w:r w:rsidRPr="004D4C57">
        <w:rPr>
          <w:i/>
          <w:iCs/>
          <w:sz w:val="22"/>
          <w:szCs w:val="22"/>
        </w:rPr>
        <w:t>1</w:t>
      </w:r>
      <w:r w:rsidRPr="004D4C57">
        <w:rPr>
          <w:sz w:val="22"/>
          <w:szCs w:val="22"/>
        </w:rPr>
        <w:t>) Preparing the sample;</w:t>
      </w:r>
    </w:p>
    <w:p w:rsidR="003F210F" w:rsidRPr="004D4C57" w:rsidRDefault="003F210F" w:rsidP="004D4C57">
      <w:pPr>
        <w:pStyle w:val="NormalWeb"/>
        <w:rPr>
          <w:sz w:val="22"/>
          <w:szCs w:val="22"/>
        </w:rPr>
      </w:pPr>
      <w:r w:rsidRPr="004D4C57">
        <w:rPr>
          <w:sz w:val="22"/>
          <w:szCs w:val="22"/>
        </w:rPr>
        <w:t>(</w:t>
      </w:r>
      <w:r w:rsidRPr="004D4C57">
        <w:rPr>
          <w:i/>
          <w:iCs/>
          <w:sz w:val="22"/>
          <w:szCs w:val="22"/>
        </w:rPr>
        <w:t>2</w:t>
      </w:r>
      <w:r w:rsidRPr="004D4C57">
        <w:rPr>
          <w:sz w:val="22"/>
          <w:szCs w:val="22"/>
        </w:rPr>
        <w:t>) Confirming the true concentration of the sample;</w:t>
      </w:r>
    </w:p>
    <w:p w:rsidR="003F210F" w:rsidRPr="004D4C57" w:rsidRDefault="003F210F" w:rsidP="004D4C57">
      <w:pPr>
        <w:pStyle w:val="NormalWeb"/>
        <w:rPr>
          <w:sz w:val="22"/>
          <w:szCs w:val="22"/>
        </w:rPr>
      </w:pPr>
      <w:r w:rsidRPr="004D4C57">
        <w:rPr>
          <w:sz w:val="22"/>
          <w:szCs w:val="22"/>
        </w:rPr>
        <w:t>(</w:t>
      </w:r>
      <w:r w:rsidRPr="004D4C57">
        <w:rPr>
          <w:i/>
          <w:iCs/>
          <w:sz w:val="22"/>
          <w:szCs w:val="22"/>
        </w:rPr>
        <w:t>3</w:t>
      </w:r>
      <w:r w:rsidRPr="004D4C57">
        <w:rPr>
          <w:sz w:val="22"/>
          <w:szCs w:val="22"/>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3F210F" w:rsidRPr="004D4C57" w:rsidRDefault="003F210F" w:rsidP="004D4C57">
      <w:pPr>
        <w:pStyle w:val="NormalWeb"/>
        <w:rPr>
          <w:sz w:val="22"/>
          <w:szCs w:val="22"/>
        </w:rPr>
      </w:pPr>
      <w:r w:rsidRPr="004D4C57">
        <w:rPr>
          <w:sz w:val="22"/>
          <w:szCs w:val="22"/>
        </w:rPr>
        <w:t>(</w:t>
      </w:r>
      <w:r w:rsidRPr="004D4C57">
        <w:rPr>
          <w:i/>
          <w:iCs/>
          <w:sz w:val="22"/>
          <w:szCs w:val="22"/>
        </w:rPr>
        <w:t>4</w:t>
      </w:r>
      <w:r w:rsidRPr="004D4C57">
        <w:rPr>
          <w:sz w:val="22"/>
          <w:szCs w:val="22"/>
        </w:rPr>
        <w:t>) Providing the opportunity for the compliance authority to comment on the selected concentration level for an audit sample;</w:t>
      </w:r>
    </w:p>
    <w:p w:rsidR="003F210F" w:rsidRPr="004D4C57" w:rsidRDefault="003F210F" w:rsidP="004D4C57">
      <w:pPr>
        <w:pStyle w:val="NormalWeb"/>
        <w:rPr>
          <w:sz w:val="22"/>
          <w:szCs w:val="22"/>
        </w:rPr>
      </w:pPr>
      <w:r w:rsidRPr="004D4C57">
        <w:rPr>
          <w:sz w:val="22"/>
          <w:szCs w:val="22"/>
        </w:rPr>
        <w:t>(</w:t>
      </w:r>
      <w:r w:rsidRPr="004D4C57">
        <w:rPr>
          <w:i/>
          <w:iCs/>
          <w:sz w:val="22"/>
          <w:szCs w:val="22"/>
        </w:rPr>
        <w:t>5</w:t>
      </w:r>
      <w:r w:rsidRPr="004D4C57">
        <w:rPr>
          <w:sz w:val="22"/>
          <w:szCs w:val="22"/>
        </w:rPr>
        <w:t>) Distributing the sample to the user in a manner that guarantees that the true value of the sample is unknown to the user;</w:t>
      </w:r>
    </w:p>
    <w:p w:rsidR="003F210F" w:rsidRPr="004D4C57" w:rsidRDefault="003F210F" w:rsidP="004D4C57">
      <w:pPr>
        <w:pStyle w:val="NormalWeb"/>
        <w:rPr>
          <w:sz w:val="22"/>
          <w:szCs w:val="22"/>
        </w:rPr>
      </w:pPr>
      <w:r w:rsidRPr="004D4C57">
        <w:rPr>
          <w:sz w:val="22"/>
          <w:szCs w:val="22"/>
        </w:rPr>
        <w:t>(</w:t>
      </w:r>
      <w:r w:rsidRPr="004D4C57">
        <w:rPr>
          <w:i/>
          <w:iCs/>
          <w:sz w:val="22"/>
          <w:szCs w:val="22"/>
        </w:rPr>
        <w:t>6</w:t>
      </w:r>
      <w:r w:rsidRPr="004D4C57">
        <w:rPr>
          <w:sz w:val="22"/>
          <w:szCs w:val="22"/>
        </w:rPr>
        <w:t>) Recording the measured concentration reported by the user and determining if the measured value is within acceptable limits;</w:t>
      </w:r>
    </w:p>
    <w:p w:rsidR="003F210F" w:rsidRPr="004D4C57" w:rsidRDefault="003F210F" w:rsidP="004D4C57">
      <w:pPr>
        <w:pStyle w:val="NormalWeb"/>
        <w:rPr>
          <w:sz w:val="22"/>
          <w:szCs w:val="22"/>
        </w:rPr>
      </w:pPr>
      <w:r w:rsidRPr="004D4C57">
        <w:rPr>
          <w:sz w:val="22"/>
          <w:szCs w:val="22"/>
        </w:rPr>
        <w:t>(</w:t>
      </w:r>
      <w:r w:rsidRPr="004D4C57">
        <w:rPr>
          <w:i/>
          <w:iCs/>
          <w:sz w:val="22"/>
          <w:szCs w:val="22"/>
        </w:rPr>
        <w:t>7</w:t>
      </w:r>
      <w:r w:rsidRPr="004D4C57">
        <w:rPr>
          <w:sz w:val="22"/>
          <w:szCs w:val="22"/>
        </w:rPr>
        <w:t xml:space="preserve">)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w:t>
      </w:r>
      <w:r w:rsidRPr="004D4C57">
        <w:rPr>
          <w:sz w:val="22"/>
          <w:szCs w:val="22"/>
        </w:rPr>
        <w:lastRenderedPageBreak/>
        <w:t>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3F210F" w:rsidRPr="004D4C57" w:rsidRDefault="003F210F" w:rsidP="004D4C57">
      <w:pPr>
        <w:pStyle w:val="NormalWeb"/>
        <w:rPr>
          <w:sz w:val="22"/>
          <w:szCs w:val="22"/>
        </w:rPr>
      </w:pPr>
      <w:r w:rsidRPr="004D4C57">
        <w:rPr>
          <w:sz w:val="22"/>
          <w:szCs w:val="22"/>
        </w:rPr>
        <w:t>(</w:t>
      </w:r>
      <w:r w:rsidRPr="004D4C57">
        <w:rPr>
          <w:i/>
          <w:iCs/>
          <w:sz w:val="22"/>
          <w:szCs w:val="22"/>
        </w:rPr>
        <w:t>8</w:t>
      </w:r>
      <w:r w:rsidRPr="004D4C57">
        <w:rPr>
          <w:sz w:val="22"/>
          <w:szCs w:val="22"/>
        </w:rPr>
        <w:t>) Evaluating the acceptance limits of samples at least once every two years to determine in consultation with the voluntary consensus standard body if they should be changed.</w:t>
      </w:r>
    </w:p>
    <w:p w:rsidR="003F210F" w:rsidRPr="004D4C57" w:rsidRDefault="003F210F" w:rsidP="004D4C57">
      <w:pPr>
        <w:pStyle w:val="NormalWeb"/>
        <w:rPr>
          <w:sz w:val="22"/>
          <w:szCs w:val="22"/>
        </w:rPr>
      </w:pPr>
      <w:r w:rsidRPr="004D4C57">
        <w:rPr>
          <w:sz w:val="22"/>
          <w:szCs w:val="22"/>
        </w:rPr>
        <w:t>(</w:t>
      </w:r>
      <w:r w:rsidRPr="004D4C57">
        <w:rPr>
          <w:i/>
          <w:iCs/>
          <w:sz w:val="22"/>
          <w:szCs w:val="22"/>
        </w:rPr>
        <w:t>9</w:t>
      </w:r>
      <w:r w:rsidRPr="004D4C57">
        <w:rPr>
          <w:sz w:val="22"/>
          <w:szCs w:val="22"/>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3F210F" w:rsidRPr="004D4C57" w:rsidRDefault="003F210F" w:rsidP="004D4C57">
      <w:pPr>
        <w:pStyle w:val="NormalWeb"/>
        <w:rPr>
          <w:sz w:val="22"/>
          <w:szCs w:val="22"/>
        </w:rPr>
      </w:pPr>
      <w:r w:rsidRPr="004D4C57">
        <w:rPr>
          <w:sz w:val="22"/>
          <w:szCs w:val="22"/>
        </w:rPr>
        <w:t xml:space="preserve">(C)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w:t>
      </w:r>
      <w:proofErr w:type="gramStart"/>
      <w:r w:rsidRPr="004D4C57">
        <w:rPr>
          <w:sz w:val="22"/>
          <w:szCs w:val="22"/>
        </w:rPr>
        <w:t>all of</w:t>
      </w:r>
      <w:proofErr w:type="gramEnd"/>
      <w:r w:rsidRPr="004D4C57">
        <w:rPr>
          <w:sz w:val="22"/>
          <w:szCs w:val="22"/>
        </w:rPr>
        <w:t xml:space="preserve"> the following operations:</w:t>
      </w:r>
    </w:p>
    <w:p w:rsidR="003F210F" w:rsidRPr="004D4C57" w:rsidRDefault="003F210F" w:rsidP="004D4C57">
      <w:pPr>
        <w:pStyle w:val="NormalWeb"/>
        <w:rPr>
          <w:sz w:val="22"/>
          <w:szCs w:val="22"/>
        </w:rPr>
      </w:pPr>
      <w:r w:rsidRPr="004D4C57">
        <w:rPr>
          <w:sz w:val="22"/>
          <w:szCs w:val="22"/>
        </w:rPr>
        <w:t>(</w:t>
      </w:r>
      <w:r w:rsidRPr="004D4C57">
        <w:rPr>
          <w:i/>
          <w:iCs/>
          <w:sz w:val="22"/>
          <w:szCs w:val="22"/>
        </w:rPr>
        <w:t>1</w:t>
      </w:r>
      <w:r w:rsidRPr="004D4C57">
        <w:rPr>
          <w:sz w:val="22"/>
          <w:szCs w:val="22"/>
        </w:rPr>
        <w:t>) Checking audit samples to confirm their true value as reported by the AASP.</w:t>
      </w:r>
    </w:p>
    <w:p w:rsidR="003F210F" w:rsidRPr="004D4C57" w:rsidRDefault="003F210F" w:rsidP="004D4C57">
      <w:pPr>
        <w:pStyle w:val="NormalWeb"/>
        <w:rPr>
          <w:sz w:val="22"/>
          <w:szCs w:val="22"/>
        </w:rPr>
      </w:pPr>
      <w:r w:rsidRPr="004D4C57">
        <w:rPr>
          <w:sz w:val="22"/>
          <w:szCs w:val="22"/>
        </w:rPr>
        <w:t>(</w:t>
      </w:r>
      <w:r w:rsidRPr="004D4C57">
        <w:rPr>
          <w:i/>
          <w:iCs/>
          <w:sz w:val="22"/>
          <w:szCs w:val="22"/>
        </w:rPr>
        <w:t>2</w:t>
      </w:r>
      <w:r w:rsidRPr="004D4C57">
        <w:rPr>
          <w:sz w:val="22"/>
          <w:szCs w:val="22"/>
        </w:rPr>
        <w:t>) Performing technical systems audits of the AASP's facilities and operating procedures at least once every two years.</w:t>
      </w:r>
    </w:p>
    <w:p w:rsidR="003F210F" w:rsidRPr="004D4C57" w:rsidRDefault="003F210F" w:rsidP="004D4C57">
      <w:pPr>
        <w:pStyle w:val="NormalWeb"/>
        <w:rPr>
          <w:sz w:val="22"/>
          <w:szCs w:val="22"/>
        </w:rPr>
      </w:pPr>
      <w:r w:rsidRPr="004D4C57">
        <w:rPr>
          <w:sz w:val="22"/>
          <w:szCs w:val="22"/>
        </w:rPr>
        <w:t>(</w:t>
      </w:r>
      <w:r w:rsidRPr="004D4C57">
        <w:rPr>
          <w:i/>
          <w:iCs/>
          <w:sz w:val="22"/>
          <w:szCs w:val="22"/>
        </w:rPr>
        <w:t>3</w:t>
      </w:r>
      <w:r w:rsidRPr="004D4C57">
        <w:rPr>
          <w:sz w:val="22"/>
          <w:szCs w:val="22"/>
        </w:rPr>
        <w:t>) Providing standards for use by the voluntary consensus standard body to approve the accrediting body that will accredit the audit sample providers.</w:t>
      </w:r>
    </w:p>
    <w:p w:rsidR="003F210F" w:rsidRPr="004D4C57" w:rsidRDefault="003F210F" w:rsidP="004D4C57">
      <w:pPr>
        <w:pStyle w:val="NormalWeb"/>
        <w:rPr>
          <w:sz w:val="22"/>
          <w:szCs w:val="22"/>
        </w:rPr>
      </w:pPr>
      <w:r w:rsidRPr="004D4C57">
        <w:rPr>
          <w:sz w:val="22"/>
          <w:szCs w:val="22"/>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4D4C57">
        <w:rPr>
          <w:i/>
          <w:iCs/>
          <w:sz w:val="22"/>
          <w:szCs w:val="22"/>
        </w:rPr>
        <w:t>Circular A-119.</w:t>
      </w:r>
      <w:r w:rsidRPr="004D4C57">
        <w:rPr>
          <w:sz w:val="22"/>
          <w:szCs w:val="22"/>
        </w:rPr>
        <w:t xml:space="preserve"> A copy of Circular A-119 is available upon request by writing the Office of Information and Regulatory Affairs, Office of Management and Budget, 725 17th Street, NW., Washington, DC 20503, by calling (202) 395-6880 or downloading online at </w:t>
      </w:r>
      <w:r w:rsidRPr="004D4C57">
        <w:rPr>
          <w:i/>
          <w:iCs/>
          <w:sz w:val="22"/>
          <w:szCs w:val="22"/>
        </w:rPr>
        <w:t>http://standards.gov/standards_gov/a119.cfm.</w:t>
      </w:r>
      <w:r w:rsidRPr="004D4C57">
        <w:rPr>
          <w:sz w:val="22"/>
          <w:szCs w:val="22"/>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4D4C57">
        <w:rPr>
          <w:i/>
          <w:iCs/>
          <w:sz w:val="22"/>
          <w:szCs w:val="22"/>
        </w:rPr>
        <w:t>http://www.epa.gov/ttn/emc.</w:t>
      </w:r>
    </w:p>
    <w:p w:rsidR="003F210F" w:rsidRPr="004D4C57" w:rsidRDefault="003F210F" w:rsidP="004D4C57">
      <w:pPr>
        <w:pStyle w:val="NormalWeb"/>
        <w:rPr>
          <w:sz w:val="22"/>
          <w:szCs w:val="22"/>
        </w:rPr>
      </w:pPr>
      <w:r w:rsidRPr="004D4C57">
        <w:rPr>
          <w:sz w:val="22"/>
          <w:szCs w:val="22"/>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3F210F" w:rsidRPr="004D4C57" w:rsidRDefault="003F210F" w:rsidP="004D4C57">
      <w:pPr>
        <w:pStyle w:val="NormalWeb"/>
        <w:rPr>
          <w:sz w:val="22"/>
          <w:szCs w:val="22"/>
        </w:rPr>
      </w:pPr>
      <w:r w:rsidRPr="004D4C57">
        <w:rPr>
          <w:sz w:val="22"/>
          <w:szCs w:val="22"/>
        </w:rPr>
        <w:t xml:space="preserve">(v) The Administrator may request additional relevant information after the submittal of a site-specific test plan. </w:t>
      </w:r>
    </w:p>
    <w:p w:rsidR="003F210F" w:rsidRPr="004D4C57" w:rsidRDefault="003F210F" w:rsidP="004D4C57">
      <w:pPr>
        <w:pStyle w:val="NormalWeb"/>
        <w:rPr>
          <w:sz w:val="22"/>
          <w:szCs w:val="22"/>
        </w:rPr>
      </w:pPr>
      <w:r w:rsidRPr="004D4C57">
        <w:rPr>
          <w:sz w:val="22"/>
          <w:szCs w:val="22"/>
        </w:rPr>
        <w:t xml:space="preserve">(3) </w:t>
      </w:r>
      <w:r w:rsidRPr="004D4C57">
        <w:rPr>
          <w:i/>
          <w:iCs/>
          <w:sz w:val="22"/>
          <w:szCs w:val="22"/>
        </w:rPr>
        <w:t>Approval of site-specific test plan.</w:t>
      </w:r>
      <w:r w:rsidRPr="004D4C57">
        <w:rPr>
          <w:sz w:val="22"/>
          <w:szCs w:val="22"/>
        </w:rPr>
        <w:t xml:space="preserve"> (i) The Administrator will notify the owner or operator of approval or intention to deny approval of the site-specific test plan (if review of the site-specific test plan is requested) within </w:t>
      </w:r>
      <w:r w:rsidRPr="004D4C57">
        <w:rPr>
          <w:sz w:val="22"/>
          <w:szCs w:val="22"/>
        </w:rPr>
        <w:lastRenderedPageBreak/>
        <w:t>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3F210F" w:rsidRPr="004D4C57" w:rsidRDefault="003F210F" w:rsidP="004D4C57">
      <w:pPr>
        <w:pStyle w:val="NormalWeb"/>
        <w:rPr>
          <w:sz w:val="22"/>
          <w:szCs w:val="22"/>
        </w:rPr>
      </w:pPr>
      <w:r w:rsidRPr="004D4C57">
        <w:rPr>
          <w:sz w:val="22"/>
          <w:szCs w:val="22"/>
        </w:rPr>
        <w:t xml:space="preserve">(A) Notice of the information and findings on which the intended disapproval is based; and </w:t>
      </w:r>
    </w:p>
    <w:p w:rsidR="003F210F" w:rsidRPr="004D4C57" w:rsidRDefault="003F210F" w:rsidP="004D4C57">
      <w:pPr>
        <w:pStyle w:val="NormalWeb"/>
        <w:rPr>
          <w:sz w:val="22"/>
          <w:szCs w:val="22"/>
        </w:rPr>
      </w:pPr>
      <w:r w:rsidRPr="004D4C57">
        <w:rPr>
          <w:sz w:val="22"/>
          <w:szCs w:val="22"/>
        </w:rPr>
        <w:t xml:space="preserve">(B) Notice of opportunity for the owner or operator to present, within 30 calendar days after he/she is notified of the intended disapproval, additional information to the Administrator before final action on the plan. </w:t>
      </w:r>
    </w:p>
    <w:p w:rsidR="003F210F" w:rsidRPr="004D4C57" w:rsidRDefault="003F210F" w:rsidP="004D4C57">
      <w:pPr>
        <w:pStyle w:val="NormalWeb"/>
        <w:rPr>
          <w:sz w:val="22"/>
          <w:szCs w:val="22"/>
        </w:rPr>
      </w:pPr>
      <w:r w:rsidRPr="004D4C57">
        <w:rPr>
          <w:sz w:val="22"/>
          <w:szCs w:val="22"/>
        </w:rPr>
        <w:t xml:space="preserve">(ii) </w:t>
      </w:r>
      <w:proofErr w:type="gramStart"/>
      <w:r w:rsidRPr="004D4C57">
        <w:rPr>
          <w:sz w:val="22"/>
          <w:szCs w:val="22"/>
        </w:rPr>
        <w:t>In the event that</w:t>
      </w:r>
      <w:proofErr w:type="gramEnd"/>
      <w:r w:rsidRPr="004D4C57">
        <w:rPr>
          <w:sz w:val="22"/>
          <w:szCs w:val="22"/>
        </w:rPr>
        <w:t xml:space="preserve"> the Administrator fails to approve or disapprove the site-specific test plan within the time period specified in paragraph (c)(3)(i) of this section, the following conditions shall apply: </w:t>
      </w:r>
    </w:p>
    <w:p w:rsidR="003F210F" w:rsidRPr="004D4C57" w:rsidRDefault="003F210F" w:rsidP="004D4C57">
      <w:pPr>
        <w:pStyle w:val="NormalWeb"/>
        <w:rPr>
          <w:sz w:val="22"/>
          <w:szCs w:val="22"/>
        </w:rPr>
      </w:pPr>
      <w:r w:rsidRPr="004D4C57">
        <w:rPr>
          <w:sz w:val="22"/>
          <w:szCs w:val="22"/>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3F210F" w:rsidRPr="004D4C57" w:rsidRDefault="003F210F" w:rsidP="004D4C57">
      <w:pPr>
        <w:pStyle w:val="NormalWeb"/>
        <w:rPr>
          <w:sz w:val="22"/>
          <w:szCs w:val="22"/>
        </w:rPr>
      </w:pPr>
      <w:r w:rsidRPr="004D4C57">
        <w:rPr>
          <w:sz w:val="22"/>
          <w:szCs w:val="22"/>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3F210F" w:rsidRPr="004D4C57" w:rsidRDefault="003F210F" w:rsidP="004D4C57">
      <w:pPr>
        <w:pStyle w:val="NormalWeb"/>
        <w:rPr>
          <w:sz w:val="22"/>
          <w:szCs w:val="22"/>
        </w:rPr>
      </w:pPr>
      <w:r w:rsidRPr="004D4C57">
        <w:rPr>
          <w:sz w:val="22"/>
          <w:szCs w:val="22"/>
        </w:rPr>
        <w:t>(iii) Neither the submission of a site-specific test plan for approval, nor the Administrator's approval or disapproval of a plan, nor the Administrator's failure to approve or disapprove a plan in a timely manner shall—</w:t>
      </w:r>
    </w:p>
    <w:p w:rsidR="003F210F" w:rsidRPr="004D4C57" w:rsidRDefault="003F210F" w:rsidP="004D4C57">
      <w:pPr>
        <w:pStyle w:val="NormalWeb"/>
        <w:rPr>
          <w:sz w:val="22"/>
          <w:szCs w:val="22"/>
        </w:rPr>
      </w:pPr>
      <w:r w:rsidRPr="004D4C57">
        <w:rPr>
          <w:sz w:val="22"/>
          <w:szCs w:val="22"/>
        </w:rPr>
        <w:t xml:space="preserve">(A) Relieve an owner or operator of legal responsibility for compliance with any applicable provisions of this part or with any other applicable Federal, State, or local requirement; or </w:t>
      </w:r>
    </w:p>
    <w:p w:rsidR="003F210F" w:rsidRPr="004D4C57" w:rsidRDefault="003F210F" w:rsidP="004D4C57">
      <w:pPr>
        <w:pStyle w:val="NormalWeb"/>
        <w:rPr>
          <w:sz w:val="22"/>
          <w:szCs w:val="22"/>
        </w:rPr>
      </w:pPr>
      <w:r w:rsidRPr="004D4C57">
        <w:rPr>
          <w:sz w:val="22"/>
          <w:szCs w:val="22"/>
        </w:rPr>
        <w:t xml:space="preserve">(B) Prevent the Administrator from implementing or enforcing this part or taking any other action under the Act. </w:t>
      </w:r>
    </w:p>
    <w:p w:rsidR="003F210F" w:rsidRPr="004D4C57" w:rsidRDefault="003F210F" w:rsidP="004D4C57">
      <w:pPr>
        <w:pStyle w:val="NormalWeb"/>
        <w:rPr>
          <w:sz w:val="22"/>
          <w:szCs w:val="22"/>
        </w:rPr>
      </w:pPr>
      <w:r w:rsidRPr="004D4C57">
        <w:rPr>
          <w:sz w:val="22"/>
          <w:szCs w:val="22"/>
        </w:rPr>
        <w:t xml:space="preserve">(d) </w:t>
      </w:r>
      <w:r w:rsidRPr="004D4C57">
        <w:rPr>
          <w:i/>
          <w:iCs/>
          <w:sz w:val="22"/>
          <w:szCs w:val="22"/>
        </w:rPr>
        <w:t>Performance testing facilities.</w:t>
      </w:r>
      <w:r w:rsidRPr="004D4C57">
        <w:rPr>
          <w:sz w:val="22"/>
          <w:szCs w:val="22"/>
        </w:rPr>
        <w:t xml:space="preserve"> If required to do performance testing, the owner or operator of each new source and, at the request of the Administrator, the owner or operator of each existing source, shall provide performance testing facilities as follows: </w:t>
      </w:r>
    </w:p>
    <w:p w:rsidR="003F210F" w:rsidRPr="004D4C57" w:rsidRDefault="003F210F" w:rsidP="004D4C57">
      <w:pPr>
        <w:pStyle w:val="NormalWeb"/>
        <w:rPr>
          <w:sz w:val="22"/>
          <w:szCs w:val="22"/>
        </w:rPr>
      </w:pPr>
      <w:r w:rsidRPr="004D4C57">
        <w:rPr>
          <w:sz w:val="22"/>
          <w:szCs w:val="22"/>
        </w:rPr>
        <w:t xml:space="preserve">(1) Sampling ports adequate for test methods applicable to such source. This includes: </w:t>
      </w:r>
    </w:p>
    <w:p w:rsidR="003F210F" w:rsidRPr="004D4C57" w:rsidRDefault="003F210F" w:rsidP="004D4C57">
      <w:pPr>
        <w:pStyle w:val="NormalWeb"/>
        <w:rPr>
          <w:sz w:val="22"/>
          <w:szCs w:val="22"/>
        </w:rPr>
      </w:pPr>
      <w:r w:rsidRPr="004D4C57">
        <w:rPr>
          <w:sz w:val="22"/>
          <w:szCs w:val="22"/>
        </w:rPr>
        <w:t xml:space="preserve">(i) Constructing the air pollution control system such that volumetric flow rates and pollutant emission rates can be accurately determined by applicable test methods and procedures; and </w:t>
      </w:r>
    </w:p>
    <w:p w:rsidR="003F210F" w:rsidRPr="004D4C57" w:rsidRDefault="003F210F" w:rsidP="004D4C57">
      <w:pPr>
        <w:pStyle w:val="NormalWeb"/>
        <w:rPr>
          <w:sz w:val="22"/>
          <w:szCs w:val="22"/>
        </w:rPr>
      </w:pPr>
      <w:r w:rsidRPr="004D4C57">
        <w:rPr>
          <w:sz w:val="22"/>
          <w:szCs w:val="22"/>
        </w:rPr>
        <w:lastRenderedPageBreak/>
        <w:t xml:space="preserve">(ii) Providing a stack or duct free of cyclonic flow during performance tests, as demonstrated by applicable test methods and procedures; </w:t>
      </w:r>
    </w:p>
    <w:p w:rsidR="003F210F" w:rsidRPr="004D4C57" w:rsidRDefault="003F210F" w:rsidP="004D4C57">
      <w:pPr>
        <w:pStyle w:val="NormalWeb"/>
        <w:rPr>
          <w:sz w:val="22"/>
          <w:szCs w:val="22"/>
        </w:rPr>
      </w:pPr>
      <w:r w:rsidRPr="004D4C57">
        <w:rPr>
          <w:sz w:val="22"/>
          <w:szCs w:val="22"/>
        </w:rPr>
        <w:t xml:space="preserve">(2) Safe sampling platform(s); </w:t>
      </w:r>
    </w:p>
    <w:p w:rsidR="003F210F" w:rsidRPr="004D4C57" w:rsidRDefault="003F210F" w:rsidP="004D4C57">
      <w:pPr>
        <w:pStyle w:val="NormalWeb"/>
        <w:rPr>
          <w:sz w:val="22"/>
          <w:szCs w:val="22"/>
        </w:rPr>
      </w:pPr>
      <w:r w:rsidRPr="004D4C57">
        <w:rPr>
          <w:sz w:val="22"/>
          <w:szCs w:val="22"/>
        </w:rPr>
        <w:t xml:space="preserve">(3) Safe access to sampling platform(s); </w:t>
      </w:r>
    </w:p>
    <w:p w:rsidR="003F210F" w:rsidRPr="004D4C57" w:rsidRDefault="003F210F" w:rsidP="004D4C57">
      <w:pPr>
        <w:pStyle w:val="NormalWeb"/>
        <w:rPr>
          <w:sz w:val="22"/>
          <w:szCs w:val="22"/>
        </w:rPr>
      </w:pPr>
      <w:r w:rsidRPr="004D4C57">
        <w:rPr>
          <w:sz w:val="22"/>
          <w:szCs w:val="22"/>
        </w:rPr>
        <w:t>(4) Utilities for sampling and testing equipment; and</w:t>
      </w:r>
    </w:p>
    <w:p w:rsidR="003F210F" w:rsidRPr="004D4C57" w:rsidRDefault="003F210F" w:rsidP="004D4C57">
      <w:pPr>
        <w:pStyle w:val="NormalWeb"/>
        <w:rPr>
          <w:sz w:val="22"/>
          <w:szCs w:val="22"/>
        </w:rPr>
      </w:pPr>
      <w:r w:rsidRPr="004D4C57">
        <w:rPr>
          <w:sz w:val="22"/>
          <w:szCs w:val="22"/>
        </w:rPr>
        <w:t xml:space="preserve">(5) Any other facilities that the Administrator deems necessary for safe and adequate testing of a source. </w:t>
      </w:r>
    </w:p>
    <w:p w:rsidR="003F210F" w:rsidRPr="004D4C57" w:rsidRDefault="003F210F" w:rsidP="004D4C57">
      <w:pPr>
        <w:pStyle w:val="NormalWeb"/>
        <w:rPr>
          <w:sz w:val="22"/>
          <w:szCs w:val="22"/>
        </w:rPr>
      </w:pPr>
      <w:r w:rsidRPr="004D4C57">
        <w:rPr>
          <w:sz w:val="22"/>
          <w:szCs w:val="22"/>
        </w:rPr>
        <w:t xml:space="preserve">(e) </w:t>
      </w:r>
      <w:r w:rsidRPr="004D4C57">
        <w:rPr>
          <w:i/>
          <w:iCs/>
          <w:sz w:val="22"/>
          <w:szCs w:val="22"/>
        </w:rPr>
        <w:t>Conduct of performance tests.</w:t>
      </w:r>
      <w:r w:rsidRPr="004D4C57">
        <w:rPr>
          <w:sz w:val="22"/>
          <w:szCs w:val="22"/>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w:t>
      </w:r>
      <w:proofErr w:type="gramStart"/>
      <w:r w:rsidRPr="004D4C57">
        <w:rPr>
          <w:sz w:val="22"/>
          <w:szCs w:val="22"/>
        </w:rPr>
        <w:t>for the purpose of</w:t>
      </w:r>
      <w:proofErr w:type="gramEnd"/>
      <w:r w:rsidRPr="004D4C57">
        <w:rPr>
          <w:sz w:val="22"/>
          <w:szCs w:val="22"/>
        </w:rPr>
        <w:t xml:space="preserve">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3F210F" w:rsidRPr="004D4C57" w:rsidRDefault="003F210F" w:rsidP="004D4C57">
      <w:pPr>
        <w:pStyle w:val="NormalWeb"/>
        <w:rPr>
          <w:sz w:val="22"/>
          <w:szCs w:val="22"/>
        </w:rPr>
      </w:pPr>
      <w:r w:rsidRPr="004D4C57">
        <w:rPr>
          <w:sz w:val="22"/>
          <w:szCs w:val="22"/>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3F210F" w:rsidRPr="004D4C57" w:rsidRDefault="003F210F" w:rsidP="004D4C57">
      <w:pPr>
        <w:pStyle w:val="NormalWeb"/>
        <w:rPr>
          <w:sz w:val="22"/>
          <w:szCs w:val="22"/>
        </w:rPr>
      </w:pPr>
      <w:r w:rsidRPr="004D4C57">
        <w:rPr>
          <w:sz w:val="22"/>
          <w:szCs w:val="22"/>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3F210F" w:rsidRPr="004D4C57" w:rsidRDefault="003F210F" w:rsidP="004D4C57">
      <w:pPr>
        <w:pStyle w:val="NormalWeb"/>
        <w:rPr>
          <w:sz w:val="22"/>
          <w:szCs w:val="22"/>
        </w:rPr>
      </w:pPr>
      <w:r w:rsidRPr="004D4C57">
        <w:rPr>
          <w:sz w:val="22"/>
          <w:szCs w:val="22"/>
        </w:rPr>
        <w:t xml:space="preserve">(ii) Approves the use of an intermediate or major change or alternative to a test method (see definitions in §63.90(a)), the results of which the Administrator has determined to be adequate for indicating whether a specific affected source </w:t>
      </w:r>
      <w:proofErr w:type="gramStart"/>
      <w:r w:rsidRPr="004D4C57">
        <w:rPr>
          <w:sz w:val="22"/>
          <w:szCs w:val="22"/>
        </w:rPr>
        <w:t>is in compliance</w:t>
      </w:r>
      <w:proofErr w:type="gramEnd"/>
      <w:r w:rsidRPr="004D4C57">
        <w:rPr>
          <w:sz w:val="22"/>
          <w:szCs w:val="22"/>
        </w:rPr>
        <w:t>; or</w:t>
      </w:r>
    </w:p>
    <w:p w:rsidR="003F210F" w:rsidRPr="004D4C57" w:rsidRDefault="003F210F" w:rsidP="004D4C57">
      <w:pPr>
        <w:pStyle w:val="NormalWeb"/>
        <w:rPr>
          <w:sz w:val="22"/>
          <w:szCs w:val="22"/>
        </w:rPr>
      </w:pPr>
      <w:r w:rsidRPr="004D4C57">
        <w:rPr>
          <w:sz w:val="22"/>
          <w:szCs w:val="22"/>
        </w:rPr>
        <w:t xml:space="preserve">(iii) Approves shorter sampling times or smaller sample volumes when necessitated by process variables or other factors; or </w:t>
      </w:r>
    </w:p>
    <w:p w:rsidR="003F210F" w:rsidRPr="004D4C57" w:rsidRDefault="003F210F" w:rsidP="004D4C57">
      <w:pPr>
        <w:pStyle w:val="NormalWeb"/>
        <w:rPr>
          <w:sz w:val="22"/>
          <w:szCs w:val="22"/>
        </w:rPr>
      </w:pPr>
      <w:r w:rsidRPr="004D4C57">
        <w:rPr>
          <w:sz w:val="22"/>
          <w:szCs w:val="22"/>
        </w:rPr>
        <w:t xml:space="preserve">(iv) Waives the requirement for performance tests because the owner or operator of an affected source has demonstrated by other means to the Administrator's satisfaction that the affected source </w:t>
      </w:r>
      <w:proofErr w:type="gramStart"/>
      <w:r w:rsidRPr="004D4C57">
        <w:rPr>
          <w:sz w:val="22"/>
          <w:szCs w:val="22"/>
        </w:rPr>
        <w:t>is in compliance with</w:t>
      </w:r>
      <w:proofErr w:type="gramEnd"/>
      <w:r w:rsidRPr="004D4C57">
        <w:rPr>
          <w:sz w:val="22"/>
          <w:szCs w:val="22"/>
        </w:rPr>
        <w:t xml:space="preserve"> the relevant standard. </w:t>
      </w:r>
    </w:p>
    <w:p w:rsidR="003F210F" w:rsidRPr="004D4C57" w:rsidRDefault="003F210F" w:rsidP="004D4C57">
      <w:pPr>
        <w:pStyle w:val="NormalWeb"/>
        <w:rPr>
          <w:sz w:val="22"/>
          <w:szCs w:val="22"/>
        </w:rPr>
      </w:pPr>
      <w:r w:rsidRPr="004D4C57">
        <w:rPr>
          <w:sz w:val="22"/>
          <w:szCs w:val="22"/>
        </w:rPr>
        <w:t xml:space="preserve">(3) Unless otherwise specified in a relevant standard or test method, each performance test shall consist of three separate runs using the applicable test method. Each run shall be conducted for the time and under the conditions specified in the relevant standard. </w:t>
      </w:r>
      <w:proofErr w:type="gramStart"/>
      <w:r w:rsidRPr="004D4C57">
        <w:rPr>
          <w:sz w:val="22"/>
          <w:szCs w:val="22"/>
        </w:rPr>
        <w:t>For the purpose of</w:t>
      </w:r>
      <w:proofErr w:type="gramEnd"/>
      <w:r w:rsidRPr="004D4C57">
        <w:rPr>
          <w:sz w:val="22"/>
          <w:szCs w:val="22"/>
        </w:rPr>
        <w:t xml:space="preserve"> determining compliance with a relevant standard, the arithmetic mean of the results of the three runs shall apply. Upon receiving approval from the Administrator, results of a test run may be replaced with results of an additional test run </w:t>
      </w:r>
      <w:proofErr w:type="gramStart"/>
      <w:r w:rsidRPr="004D4C57">
        <w:rPr>
          <w:sz w:val="22"/>
          <w:szCs w:val="22"/>
        </w:rPr>
        <w:t>in the event that</w:t>
      </w:r>
      <w:proofErr w:type="gramEnd"/>
      <w:r w:rsidRPr="004D4C57">
        <w:rPr>
          <w:sz w:val="22"/>
          <w:szCs w:val="22"/>
        </w:rPr>
        <w:t>—</w:t>
      </w:r>
    </w:p>
    <w:p w:rsidR="003F210F" w:rsidRPr="004D4C57" w:rsidRDefault="003F210F" w:rsidP="004D4C57">
      <w:pPr>
        <w:pStyle w:val="NormalWeb"/>
        <w:rPr>
          <w:sz w:val="22"/>
          <w:szCs w:val="22"/>
        </w:rPr>
      </w:pPr>
      <w:r w:rsidRPr="004D4C57">
        <w:rPr>
          <w:sz w:val="22"/>
          <w:szCs w:val="22"/>
        </w:rPr>
        <w:t xml:space="preserve">(i) A sample is accidentally lost after the testing team leaves the site; or </w:t>
      </w:r>
    </w:p>
    <w:p w:rsidR="003F210F" w:rsidRPr="004D4C57" w:rsidRDefault="003F210F" w:rsidP="004D4C57">
      <w:pPr>
        <w:pStyle w:val="NormalWeb"/>
        <w:rPr>
          <w:sz w:val="22"/>
          <w:szCs w:val="22"/>
        </w:rPr>
      </w:pPr>
      <w:r w:rsidRPr="004D4C57">
        <w:rPr>
          <w:sz w:val="22"/>
          <w:szCs w:val="22"/>
        </w:rPr>
        <w:t xml:space="preserve">(ii) Conditions occur in which one of the three runs must be discontinued because of forced shutdown; or </w:t>
      </w:r>
    </w:p>
    <w:p w:rsidR="003F210F" w:rsidRPr="004D4C57" w:rsidRDefault="003F210F" w:rsidP="004D4C57">
      <w:pPr>
        <w:pStyle w:val="NormalWeb"/>
        <w:rPr>
          <w:sz w:val="22"/>
          <w:szCs w:val="22"/>
        </w:rPr>
      </w:pPr>
      <w:r w:rsidRPr="004D4C57">
        <w:rPr>
          <w:sz w:val="22"/>
          <w:szCs w:val="22"/>
        </w:rPr>
        <w:lastRenderedPageBreak/>
        <w:t xml:space="preserve">(iii) Extreme meteorological conditions occur; or </w:t>
      </w:r>
    </w:p>
    <w:p w:rsidR="003F210F" w:rsidRPr="004D4C57" w:rsidRDefault="003F210F" w:rsidP="004D4C57">
      <w:pPr>
        <w:pStyle w:val="NormalWeb"/>
        <w:rPr>
          <w:sz w:val="22"/>
          <w:szCs w:val="22"/>
        </w:rPr>
      </w:pPr>
      <w:r w:rsidRPr="004D4C57">
        <w:rPr>
          <w:sz w:val="22"/>
          <w:szCs w:val="22"/>
        </w:rPr>
        <w:t xml:space="preserve">(iv) Other circumstances occur that are beyond the owner or operator's control. </w:t>
      </w:r>
    </w:p>
    <w:p w:rsidR="003F210F" w:rsidRPr="004D4C57" w:rsidRDefault="003F210F" w:rsidP="004D4C57">
      <w:pPr>
        <w:pStyle w:val="NormalWeb"/>
        <w:rPr>
          <w:sz w:val="22"/>
          <w:szCs w:val="22"/>
        </w:rPr>
      </w:pPr>
      <w:r w:rsidRPr="004D4C57">
        <w:rPr>
          <w:sz w:val="22"/>
          <w:szCs w:val="22"/>
        </w:rPr>
        <w:t xml:space="preserve">(4) Nothing in paragraphs (e)(1) through (e)(3) of this section shall be construed to abrogate the Administrator's authority to require testing under section 114 of the Act. </w:t>
      </w:r>
    </w:p>
    <w:p w:rsidR="003F210F" w:rsidRPr="004D4C57" w:rsidRDefault="003F210F" w:rsidP="004D4C57">
      <w:pPr>
        <w:pStyle w:val="NormalWeb"/>
        <w:rPr>
          <w:sz w:val="22"/>
          <w:szCs w:val="22"/>
        </w:rPr>
      </w:pPr>
      <w:r w:rsidRPr="004D4C57">
        <w:rPr>
          <w:sz w:val="22"/>
          <w:szCs w:val="22"/>
        </w:rPr>
        <w:t xml:space="preserve">(f) </w:t>
      </w:r>
      <w:r w:rsidRPr="004D4C57">
        <w:rPr>
          <w:i/>
          <w:iCs/>
          <w:sz w:val="22"/>
          <w:szCs w:val="22"/>
        </w:rPr>
        <w:t>Use of an alternative test method</w:t>
      </w:r>
      <w:proofErr w:type="gramStart"/>
      <w:r w:rsidRPr="004D4C57">
        <w:rPr>
          <w:sz w:val="22"/>
          <w:szCs w:val="22"/>
        </w:rPr>
        <w:t>—(</w:t>
      </w:r>
      <w:proofErr w:type="gramEnd"/>
      <w:r w:rsidRPr="004D4C57">
        <w:rPr>
          <w:sz w:val="22"/>
          <w:szCs w:val="22"/>
        </w:rPr>
        <w:t>1)</w:t>
      </w:r>
      <w:r w:rsidRPr="004D4C57">
        <w:rPr>
          <w:i/>
          <w:iCs/>
          <w:sz w:val="22"/>
          <w:szCs w:val="22"/>
        </w:rPr>
        <w:t>General.</w:t>
      </w:r>
      <w:r w:rsidRPr="004D4C57">
        <w:rPr>
          <w:sz w:val="22"/>
          <w:szCs w:val="22"/>
        </w:rPr>
        <w:t xml:space="preserve"> Until authorized to use an intermediate or major change or alternative to a test method, the owner or operator of an affected source remains subject to the requirements of this section and the relevant standard.</w:t>
      </w:r>
    </w:p>
    <w:p w:rsidR="003F210F" w:rsidRPr="004D4C57" w:rsidRDefault="003F210F" w:rsidP="004D4C57">
      <w:pPr>
        <w:pStyle w:val="NormalWeb"/>
        <w:rPr>
          <w:sz w:val="22"/>
          <w:szCs w:val="22"/>
        </w:rPr>
      </w:pPr>
      <w:r w:rsidRPr="004D4C57">
        <w:rPr>
          <w:sz w:val="22"/>
          <w:szCs w:val="22"/>
        </w:rPr>
        <w:t xml:space="preserve">(2) The owner or operator of an affected source required to do performance testing by a relevant standard may use an alternative test method from that specified in the standard provided that the owner or operator— </w:t>
      </w:r>
    </w:p>
    <w:p w:rsidR="003F210F" w:rsidRPr="004D4C57" w:rsidRDefault="003F210F" w:rsidP="004D4C57">
      <w:pPr>
        <w:pStyle w:val="NormalWeb"/>
        <w:rPr>
          <w:sz w:val="22"/>
          <w:szCs w:val="22"/>
        </w:rPr>
      </w:pPr>
      <w:r w:rsidRPr="004D4C57">
        <w:rPr>
          <w:sz w:val="22"/>
          <w:szCs w:val="22"/>
        </w:rPr>
        <w:t xml:space="preserve">(i) Notifies the Administrator of his or her intention to use an alternative test method at least 60 days before the performance test is scheduled to begin; </w:t>
      </w:r>
    </w:p>
    <w:p w:rsidR="003F210F" w:rsidRPr="004D4C57" w:rsidRDefault="003F210F" w:rsidP="004D4C57">
      <w:pPr>
        <w:pStyle w:val="NormalWeb"/>
        <w:rPr>
          <w:sz w:val="22"/>
          <w:szCs w:val="22"/>
        </w:rPr>
      </w:pPr>
      <w:r w:rsidRPr="004D4C57">
        <w:rPr>
          <w:sz w:val="22"/>
          <w:szCs w:val="22"/>
        </w:rPr>
        <w:t xml:space="preserve">(ii) Uses Method 301 in appendix A of this part to validate the alternative test method. This may include the use of specific procedures of Method 301 if use of such procedures </w:t>
      </w:r>
      <w:proofErr w:type="gramStart"/>
      <w:r w:rsidRPr="004D4C57">
        <w:rPr>
          <w:sz w:val="22"/>
          <w:szCs w:val="22"/>
        </w:rPr>
        <w:t>are</w:t>
      </w:r>
      <w:proofErr w:type="gramEnd"/>
      <w:r w:rsidRPr="004D4C57">
        <w:rPr>
          <w:sz w:val="22"/>
          <w:szCs w:val="22"/>
        </w:rPr>
        <w:t xml:space="preserve"> sufficient to validate the alternative test method; and </w:t>
      </w:r>
    </w:p>
    <w:p w:rsidR="003F210F" w:rsidRPr="004D4C57" w:rsidRDefault="003F210F" w:rsidP="004D4C57">
      <w:pPr>
        <w:pStyle w:val="NormalWeb"/>
        <w:rPr>
          <w:sz w:val="22"/>
          <w:szCs w:val="22"/>
        </w:rPr>
      </w:pPr>
      <w:r w:rsidRPr="004D4C57">
        <w:rPr>
          <w:sz w:val="22"/>
          <w:szCs w:val="22"/>
        </w:rPr>
        <w:t xml:space="preserve">(iii)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w:t>
      </w:r>
      <w:proofErr w:type="gramStart"/>
      <w:r w:rsidRPr="004D4C57">
        <w:rPr>
          <w:sz w:val="22"/>
          <w:szCs w:val="22"/>
        </w:rPr>
        <w:t>in order to</w:t>
      </w:r>
      <w:proofErr w:type="gramEnd"/>
      <w:r w:rsidRPr="004D4C57">
        <w:rPr>
          <w:sz w:val="22"/>
          <w:szCs w:val="22"/>
        </w:rPr>
        <w:t xml:space="preserve"> meet the performance test date specified in this section or the relevant standard.</w:t>
      </w:r>
    </w:p>
    <w:p w:rsidR="003F210F" w:rsidRPr="004D4C57" w:rsidRDefault="003F210F" w:rsidP="004D4C57">
      <w:pPr>
        <w:pStyle w:val="NormalWeb"/>
        <w:rPr>
          <w:sz w:val="22"/>
          <w:szCs w:val="22"/>
        </w:rPr>
      </w:pPr>
      <w:r w:rsidRPr="004D4C57">
        <w:rPr>
          <w:sz w:val="22"/>
          <w:szCs w:val="22"/>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3F210F" w:rsidRPr="004D4C57" w:rsidRDefault="003F210F" w:rsidP="004D4C57">
      <w:pPr>
        <w:pStyle w:val="NormalWeb"/>
        <w:rPr>
          <w:sz w:val="22"/>
          <w:szCs w:val="22"/>
        </w:rPr>
      </w:pPr>
      <w:r w:rsidRPr="004D4C57">
        <w:rPr>
          <w:sz w:val="22"/>
          <w:szCs w:val="22"/>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3F210F" w:rsidRPr="004D4C57" w:rsidRDefault="003F210F" w:rsidP="004D4C57">
      <w:pPr>
        <w:pStyle w:val="NormalWeb"/>
        <w:rPr>
          <w:sz w:val="22"/>
          <w:szCs w:val="22"/>
        </w:rPr>
      </w:pPr>
      <w:r w:rsidRPr="004D4C57">
        <w:rPr>
          <w:sz w:val="22"/>
          <w:szCs w:val="22"/>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3F210F" w:rsidRPr="004D4C57" w:rsidRDefault="003F210F" w:rsidP="004D4C57">
      <w:pPr>
        <w:pStyle w:val="NormalWeb"/>
        <w:rPr>
          <w:sz w:val="22"/>
          <w:szCs w:val="22"/>
        </w:rPr>
      </w:pPr>
      <w:r w:rsidRPr="004D4C57">
        <w:rPr>
          <w:sz w:val="22"/>
          <w:szCs w:val="22"/>
        </w:rPr>
        <w:lastRenderedPageBreak/>
        <w:t xml:space="preserve">(6) Neither the validation and approval process nor the failure to validate an alternative test method shall abrogate the owner or operator's responsibility to comply with the requirements of this part. </w:t>
      </w:r>
    </w:p>
    <w:p w:rsidR="003F210F" w:rsidRPr="004D4C57" w:rsidRDefault="003F210F" w:rsidP="004D4C57">
      <w:pPr>
        <w:pStyle w:val="NormalWeb"/>
        <w:rPr>
          <w:sz w:val="22"/>
          <w:szCs w:val="22"/>
        </w:rPr>
      </w:pPr>
      <w:r w:rsidRPr="004D4C57">
        <w:rPr>
          <w:sz w:val="22"/>
          <w:szCs w:val="22"/>
        </w:rPr>
        <w:t xml:space="preserve">(g) </w:t>
      </w:r>
      <w:r w:rsidRPr="004D4C57">
        <w:rPr>
          <w:i/>
          <w:iCs/>
          <w:sz w:val="22"/>
          <w:szCs w:val="22"/>
        </w:rPr>
        <w:t>Data analysis, recordkeeping, and reporting.</w:t>
      </w:r>
      <w:r w:rsidRPr="004D4C57">
        <w:rPr>
          <w:sz w:val="22"/>
          <w:szCs w:val="22"/>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3F210F" w:rsidRPr="004D4C57" w:rsidRDefault="003F210F" w:rsidP="004D4C57">
      <w:pPr>
        <w:pStyle w:val="NormalWeb"/>
        <w:rPr>
          <w:sz w:val="22"/>
          <w:szCs w:val="22"/>
        </w:rPr>
      </w:pPr>
      <w:r w:rsidRPr="004D4C57">
        <w:rPr>
          <w:sz w:val="22"/>
          <w:szCs w:val="22"/>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rsidR="003F210F" w:rsidRPr="004D4C57" w:rsidRDefault="003F210F" w:rsidP="004D4C57">
      <w:pPr>
        <w:pStyle w:val="NormalWeb"/>
        <w:rPr>
          <w:sz w:val="22"/>
          <w:szCs w:val="22"/>
        </w:rPr>
      </w:pPr>
      <w:r w:rsidRPr="004D4C57">
        <w:rPr>
          <w:sz w:val="22"/>
          <w:szCs w:val="22"/>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3F210F" w:rsidRPr="004D4C57" w:rsidRDefault="003F210F" w:rsidP="004D4C57">
      <w:pPr>
        <w:pStyle w:val="NormalWeb"/>
        <w:rPr>
          <w:sz w:val="22"/>
          <w:szCs w:val="22"/>
        </w:rPr>
      </w:pPr>
      <w:r w:rsidRPr="004D4C57">
        <w:rPr>
          <w:sz w:val="22"/>
          <w:szCs w:val="22"/>
        </w:rPr>
        <w:t>(ii) Purpose of the test including the applicable regulation requiring the test, the pollutant(s) and other parameters being measured, the applicable emission standard, and any process parameter component, and a brief process description.</w:t>
      </w:r>
    </w:p>
    <w:p w:rsidR="003F210F" w:rsidRPr="004D4C57" w:rsidRDefault="003F210F" w:rsidP="004D4C57">
      <w:pPr>
        <w:pStyle w:val="NormalWeb"/>
        <w:rPr>
          <w:sz w:val="22"/>
          <w:szCs w:val="22"/>
        </w:rPr>
      </w:pPr>
      <w:r w:rsidRPr="004D4C57">
        <w:rPr>
          <w:sz w:val="22"/>
          <w:szCs w:val="22"/>
        </w:rPr>
        <w:t>(iii) Description of the emission unit tested including fuel burned, control devices, and vent characteristics; the appropriate source classification code (SCC); the permitted maximum process rate (where applicable); and the sampling location.</w:t>
      </w:r>
    </w:p>
    <w:p w:rsidR="003F210F" w:rsidRPr="004D4C57" w:rsidRDefault="003F210F" w:rsidP="004D4C57">
      <w:pPr>
        <w:pStyle w:val="NormalWeb"/>
        <w:rPr>
          <w:sz w:val="22"/>
          <w:szCs w:val="22"/>
        </w:rPr>
      </w:pPr>
      <w:r w:rsidRPr="004D4C57">
        <w:rPr>
          <w:sz w:val="22"/>
          <w:szCs w:val="22"/>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3F210F" w:rsidRPr="004D4C57" w:rsidRDefault="003F210F" w:rsidP="004D4C57">
      <w:pPr>
        <w:pStyle w:val="NormalWeb"/>
        <w:rPr>
          <w:sz w:val="22"/>
          <w:szCs w:val="22"/>
        </w:rPr>
      </w:pPr>
      <w:r w:rsidRPr="004D4C57">
        <w:rPr>
          <w:sz w:val="22"/>
          <w:szCs w:val="22"/>
        </w:rPr>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rsidR="003F210F" w:rsidRPr="004D4C57" w:rsidRDefault="003F210F" w:rsidP="004D4C57">
      <w:pPr>
        <w:pStyle w:val="NormalWeb"/>
        <w:rPr>
          <w:sz w:val="22"/>
          <w:szCs w:val="22"/>
        </w:rPr>
      </w:pPr>
      <w:r w:rsidRPr="004D4C57">
        <w:rPr>
          <w:sz w:val="22"/>
          <w:szCs w:val="22"/>
        </w:rPr>
        <w:t>(vi) Identification of the company conducting the performance test including the primary office address, telephone number, and the contact for this test including his/her email address.</w:t>
      </w:r>
    </w:p>
    <w:p w:rsidR="003F210F" w:rsidRPr="004D4C57" w:rsidRDefault="003F210F" w:rsidP="004D4C57">
      <w:pPr>
        <w:pStyle w:val="NormalWeb"/>
        <w:rPr>
          <w:sz w:val="22"/>
          <w:szCs w:val="22"/>
        </w:rPr>
      </w:pPr>
      <w:r w:rsidRPr="004D4C57">
        <w:rPr>
          <w:sz w:val="22"/>
          <w:szCs w:val="22"/>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3F210F" w:rsidRPr="004D4C57" w:rsidRDefault="003F210F" w:rsidP="004D4C57">
      <w:pPr>
        <w:pStyle w:val="NormalWeb"/>
        <w:rPr>
          <w:sz w:val="22"/>
          <w:szCs w:val="22"/>
        </w:rPr>
      </w:pPr>
      <w:r w:rsidRPr="004D4C57">
        <w:rPr>
          <w:sz w:val="22"/>
          <w:szCs w:val="22"/>
        </w:rPr>
        <w:t xml:space="preserve">(h) </w:t>
      </w:r>
      <w:r w:rsidRPr="004D4C57">
        <w:rPr>
          <w:i/>
          <w:iCs/>
          <w:sz w:val="22"/>
          <w:szCs w:val="22"/>
        </w:rPr>
        <w:t>Waiver of performance tests.</w:t>
      </w:r>
      <w:r w:rsidRPr="004D4C57">
        <w:rPr>
          <w:sz w:val="22"/>
          <w:szCs w:val="22"/>
        </w:rPr>
        <w:t xml:space="preserve"> (1) Until a waiver of a performance testing requirement has been granted by the Administrator under this paragraph, the owner or operator of an affected source remains subject to the requirements of this section. </w:t>
      </w:r>
    </w:p>
    <w:p w:rsidR="003F210F" w:rsidRPr="004D4C57" w:rsidRDefault="003F210F" w:rsidP="004D4C57">
      <w:pPr>
        <w:pStyle w:val="NormalWeb"/>
        <w:rPr>
          <w:sz w:val="22"/>
          <w:szCs w:val="22"/>
        </w:rPr>
      </w:pPr>
      <w:r w:rsidRPr="004D4C57">
        <w:rPr>
          <w:sz w:val="22"/>
          <w:szCs w:val="22"/>
        </w:rPr>
        <w:lastRenderedPageBreak/>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3F210F" w:rsidRPr="004D4C57" w:rsidRDefault="003F210F" w:rsidP="004D4C57">
      <w:pPr>
        <w:pStyle w:val="NormalWeb"/>
        <w:rPr>
          <w:sz w:val="22"/>
          <w:szCs w:val="22"/>
        </w:rPr>
      </w:pPr>
      <w:r w:rsidRPr="004D4C57">
        <w:rPr>
          <w:sz w:val="22"/>
          <w:szCs w:val="22"/>
        </w:rPr>
        <w:t xml:space="preserve">(3) </w:t>
      </w:r>
      <w:r w:rsidRPr="004D4C57">
        <w:rPr>
          <w:i/>
          <w:iCs/>
          <w:sz w:val="22"/>
          <w:szCs w:val="22"/>
        </w:rPr>
        <w:t>Request to waive a performance test.</w:t>
      </w:r>
      <w:r w:rsidRPr="004D4C57">
        <w:rPr>
          <w:sz w:val="22"/>
          <w:szCs w:val="22"/>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3F210F" w:rsidRPr="004D4C57" w:rsidRDefault="003F210F" w:rsidP="004D4C57">
      <w:pPr>
        <w:pStyle w:val="NormalWeb"/>
        <w:rPr>
          <w:sz w:val="22"/>
          <w:szCs w:val="22"/>
        </w:rPr>
      </w:pPr>
      <w:r w:rsidRPr="004D4C57">
        <w:rPr>
          <w:sz w:val="22"/>
          <w:szCs w:val="22"/>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3F210F" w:rsidRPr="004D4C57" w:rsidRDefault="003F210F" w:rsidP="004D4C57">
      <w:pPr>
        <w:pStyle w:val="NormalWeb"/>
        <w:rPr>
          <w:sz w:val="22"/>
          <w:szCs w:val="22"/>
        </w:rPr>
      </w:pPr>
      <w:r w:rsidRPr="004D4C57">
        <w:rPr>
          <w:sz w:val="22"/>
          <w:szCs w:val="22"/>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3F210F" w:rsidRPr="004D4C57" w:rsidRDefault="003F210F" w:rsidP="004D4C57">
      <w:pPr>
        <w:pStyle w:val="NormalWeb"/>
        <w:rPr>
          <w:sz w:val="22"/>
          <w:szCs w:val="22"/>
        </w:rPr>
      </w:pPr>
      <w:r w:rsidRPr="004D4C57">
        <w:rPr>
          <w:sz w:val="22"/>
          <w:szCs w:val="22"/>
        </w:rPr>
        <w:t xml:space="preserve">(4) </w:t>
      </w:r>
      <w:r w:rsidRPr="004D4C57">
        <w:rPr>
          <w:i/>
          <w:iCs/>
          <w:sz w:val="22"/>
          <w:szCs w:val="22"/>
        </w:rPr>
        <w:t>Approval of request to waive performance test.</w:t>
      </w:r>
      <w:r w:rsidRPr="004D4C57">
        <w:rPr>
          <w:sz w:val="22"/>
          <w:szCs w:val="22"/>
        </w:rPr>
        <w:t xml:space="preserve"> The Administrator will approve or deny a request for a waiver of a performance test made under paragraph (h)(3) of this section when he/she— </w:t>
      </w:r>
    </w:p>
    <w:p w:rsidR="003F210F" w:rsidRPr="004D4C57" w:rsidRDefault="003F210F" w:rsidP="004D4C57">
      <w:pPr>
        <w:pStyle w:val="NormalWeb"/>
        <w:rPr>
          <w:sz w:val="22"/>
          <w:szCs w:val="22"/>
        </w:rPr>
      </w:pPr>
      <w:r w:rsidRPr="004D4C57">
        <w:rPr>
          <w:sz w:val="22"/>
          <w:szCs w:val="22"/>
        </w:rPr>
        <w:t>(i) Approves or denies an extension of compliance under §63.6(i)(8); or</w:t>
      </w:r>
    </w:p>
    <w:p w:rsidR="003F210F" w:rsidRPr="004D4C57" w:rsidRDefault="003F210F" w:rsidP="004D4C57">
      <w:pPr>
        <w:pStyle w:val="NormalWeb"/>
        <w:rPr>
          <w:sz w:val="22"/>
          <w:szCs w:val="22"/>
        </w:rPr>
      </w:pPr>
      <w:r w:rsidRPr="004D4C57">
        <w:rPr>
          <w:sz w:val="22"/>
          <w:szCs w:val="22"/>
        </w:rPr>
        <w:t>(ii) Approves or disapproves a site-specific test plan under §63.7(c)(3); or</w:t>
      </w:r>
    </w:p>
    <w:p w:rsidR="003F210F" w:rsidRPr="004D4C57" w:rsidRDefault="003F210F" w:rsidP="004D4C57">
      <w:pPr>
        <w:pStyle w:val="NormalWeb"/>
        <w:rPr>
          <w:sz w:val="22"/>
          <w:szCs w:val="22"/>
        </w:rPr>
      </w:pPr>
      <w:r w:rsidRPr="004D4C57">
        <w:rPr>
          <w:sz w:val="22"/>
          <w:szCs w:val="22"/>
        </w:rPr>
        <w:t xml:space="preserve">(iii) </w:t>
      </w:r>
      <w:proofErr w:type="gramStart"/>
      <w:r w:rsidRPr="004D4C57">
        <w:rPr>
          <w:sz w:val="22"/>
          <w:szCs w:val="22"/>
        </w:rPr>
        <w:t>Makes a determination</w:t>
      </w:r>
      <w:proofErr w:type="gramEnd"/>
      <w:r w:rsidRPr="004D4C57">
        <w:rPr>
          <w:sz w:val="22"/>
          <w:szCs w:val="22"/>
        </w:rPr>
        <w:t xml:space="preserve"> of compliance following the submission of a required compliance status report or excess emissions and continuous monitoring systems performance report; or</w:t>
      </w:r>
    </w:p>
    <w:p w:rsidR="003F210F" w:rsidRPr="004D4C57" w:rsidRDefault="003F210F" w:rsidP="004D4C57">
      <w:pPr>
        <w:pStyle w:val="NormalWeb"/>
        <w:rPr>
          <w:sz w:val="22"/>
          <w:szCs w:val="22"/>
        </w:rPr>
      </w:pPr>
      <w:r w:rsidRPr="004D4C57">
        <w:rPr>
          <w:sz w:val="22"/>
          <w:szCs w:val="22"/>
        </w:rPr>
        <w:t xml:space="preserve">(iv) </w:t>
      </w:r>
      <w:proofErr w:type="gramStart"/>
      <w:r w:rsidRPr="004D4C57">
        <w:rPr>
          <w:sz w:val="22"/>
          <w:szCs w:val="22"/>
        </w:rPr>
        <w:t>Makes a determination</w:t>
      </w:r>
      <w:proofErr w:type="gramEnd"/>
      <w:r w:rsidRPr="004D4C57">
        <w:rPr>
          <w:sz w:val="22"/>
          <w:szCs w:val="22"/>
        </w:rPr>
        <w:t xml:space="preserve"> of suitable progress towards compliance following the submission of a compliance progress report, whichever is applicable.</w:t>
      </w:r>
    </w:p>
    <w:p w:rsidR="003F210F" w:rsidRPr="004D4C57" w:rsidRDefault="003F210F" w:rsidP="004D4C57">
      <w:pPr>
        <w:pStyle w:val="NormalWeb"/>
        <w:rPr>
          <w:sz w:val="22"/>
          <w:szCs w:val="22"/>
        </w:rPr>
      </w:pPr>
      <w:r w:rsidRPr="004D4C57">
        <w:rPr>
          <w:sz w:val="22"/>
          <w:szCs w:val="22"/>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3F210F" w:rsidRPr="004D4C57" w:rsidRDefault="003F210F" w:rsidP="004D4C57">
      <w:pPr>
        <w:pStyle w:val="cita"/>
        <w:rPr>
          <w:sz w:val="22"/>
          <w:szCs w:val="22"/>
        </w:rPr>
      </w:pPr>
      <w:r w:rsidRPr="004D4C57">
        <w:rPr>
          <w:sz w:val="22"/>
          <w:szCs w:val="22"/>
        </w:rPr>
        <w:t>[59 FR 12430, Mar. 16, 1994, as amended at 65 FR 62215, Oct. 17, 2000; 67 FR 16602, Apr. 5, 2002; 72 FR 27443, May 16, 2007; 75 FR 55655, Sept. 13, 2010; 79 FR 11277, Feb. 27, 2014; 81 FR 59825, Aug. 30, 2016]</w:t>
      </w:r>
    </w:p>
    <w:p w:rsidR="003F210F" w:rsidRPr="004D4C57" w:rsidRDefault="003F210F" w:rsidP="004D4C57">
      <w:pPr>
        <w:pStyle w:val="Heading2"/>
        <w:rPr>
          <w:rFonts w:ascii="Times New Roman" w:hAnsi="Times New Roman" w:cs="Times New Roman"/>
          <w:sz w:val="22"/>
          <w:szCs w:val="22"/>
        </w:rPr>
      </w:pPr>
      <w:bookmarkStart w:id="14" w:name="se40.11.63_18"/>
      <w:bookmarkEnd w:id="14"/>
      <w:r w:rsidRPr="004D4C57">
        <w:rPr>
          <w:rFonts w:ascii="Times New Roman" w:hAnsi="Times New Roman" w:cs="Times New Roman"/>
          <w:sz w:val="22"/>
          <w:szCs w:val="22"/>
        </w:rPr>
        <w:t>§63.8   Monitoring requirements.</w:t>
      </w:r>
    </w:p>
    <w:p w:rsidR="003F210F" w:rsidRPr="004D4C57" w:rsidRDefault="003F210F" w:rsidP="004D4C57">
      <w:pPr>
        <w:pStyle w:val="NormalWeb"/>
        <w:rPr>
          <w:sz w:val="22"/>
          <w:szCs w:val="22"/>
        </w:rPr>
      </w:pPr>
      <w:r w:rsidRPr="004D4C57">
        <w:rPr>
          <w:sz w:val="22"/>
          <w:szCs w:val="22"/>
        </w:rPr>
        <w:t xml:space="preserve">(a) </w:t>
      </w:r>
      <w:r w:rsidRPr="004D4C57">
        <w:rPr>
          <w:i/>
          <w:iCs/>
          <w:sz w:val="22"/>
          <w:szCs w:val="22"/>
        </w:rPr>
        <w:t>Applicability.</w:t>
      </w:r>
      <w:r w:rsidRPr="004D4C57">
        <w:rPr>
          <w:sz w:val="22"/>
          <w:szCs w:val="22"/>
        </w:rPr>
        <w:t xml:space="preserve"> (1) The applicability of this section is set out in §63.1(a)(4). </w:t>
      </w:r>
    </w:p>
    <w:p w:rsidR="003F210F" w:rsidRPr="004D4C57" w:rsidRDefault="003F210F" w:rsidP="004D4C57">
      <w:pPr>
        <w:pStyle w:val="NormalWeb"/>
        <w:rPr>
          <w:sz w:val="22"/>
          <w:szCs w:val="22"/>
        </w:rPr>
      </w:pPr>
      <w:r w:rsidRPr="004D4C57">
        <w:rPr>
          <w:sz w:val="22"/>
          <w:szCs w:val="22"/>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3F210F" w:rsidRPr="004D4C57" w:rsidRDefault="003F210F" w:rsidP="004D4C57">
      <w:pPr>
        <w:pStyle w:val="NormalWeb"/>
        <w:rPr>
          <w:sz w:val="22"/>
          <w:szCs w:val="22"/>
        </w:rPr>
      </w:pPr>
      <w:r w:rsidRPr="004D4C57">
        <w:rPr>
          <w:sz w:val="22"/>
          <w:szCs w:val="22"/>
        </w:rPr>
        <w:lastRenderedPageBreak/>
        <w:t>(3) [Reserved]</w:t>
      </w:r>
    </w:p>
    <w:p w:rsidR="003F210F" w:rsidRPr="004D4C57" w:rsidRDefault="003F210F" w:rsidP="004D4C57">
      <w:pPr>
        <w:pStyle w:val="NormalWeb"/>
        <w:rPr>
          <w:sz w:val="22"/>
          <w:szCs w:val="22"/>
        </w:rPr>
      </w:pPr>
      <w:r w:rsidRPr="004D4C57">
        <w:rPr>
          <w:sz w:val="22"/>
          <w:szCs w:val="22"/>
        </w:rPr>
        <w:t>(4) Additional monitoring requirements for control devices used to comply with provisions in relevant standards of this part are specified in §63.11.</w:t>
      </w:r>
    </w:p>
    <w:p w:rsidR="003F210F" w:rsidRPr="004D4C57" w:rsidRDefault="003F210F" w:rsidP="004D4C57">
      <w:pPr>
        <w:pStyle w:val="NormalWeb"/>
        <w:rPr>
          <w:sz w:val="22"/>
          <w:szCs w:val="22"/>
        </w:rPr>
      </w:pPr>
      <w:r w:rsidRPr="004D4C57">
        <w:rPr>
          <w:sz w:val="22"/>
          <w:szCs w:val="22"/>
        </w:rPr>
        <w:t xml:space="preserve">(b) </w:t>
      </w:r>
      <w:r w:rsidRPr="004D4C57">
        <w:rPr>
          <w:i/>
          <w:iCs/>
          <w:sz w:val="22"/>
          <w:szCs w:val="22"/>
        </w:rPr>
        <w:t>Conduct of monitoring.</w:t>
      </w:r>
      <w:r w:rsidRPr="004D4C57">
        <w:rPr>
          <w:sz w:val="22"/>
          <w:szCs w:val="22"/>
        </w:rPr>
        <w:t xml:space="preserve"> (1) Monitoring shall be conducted as set forth in this section and the relevant standard(s) unless the Administrator—</w:t>
      </w:r>
    </w:p>
    <w:p w:rsidR="003F210F" w:rsidRPr="004D4C57" w:rsidRDefault="003F210F" w:rsidP="004D4C57">
      <w:pPr>
        <w:pStyle w:val="NormalWeb"/>
        <w:rPr>
          <w:sz w:val="22"/>
          <w:szCs w:val="22"/>
        </w:rPr>
      </w:pPr>
      <w:r w:rsidRPr="004D4C57">
        <w:rPr>
          <w:sz w:val="22"/>
          <w:szCs w:val="22"/>
        </w:rPr>
        <w:t xml:space="preserve">(i) Specifies or approves the use of minor changes in methodology for the specified monitoring requirements and procedures (see §63.90(a) for definition); or </w:t>
      </w:r>
    </w:p>
    <w:p w:rsidR="003F210F" w:rsidRPr="004D4C57" w:rsidRDefault="003F210F" w:rsidP="004D4C57">
      <w:pPr>
        <w:pStyle w:val="NormalWeb"/>
        <w:rPr>
          <w:sz w:val="22"/>
          <w:szCs w:val="22"/>
        </w:rPr>
      </w:pPr>
      <w:r w:rsidRPr="004D4C57">
        <w:rPr>
          <w:sz w:val="22"/>
          <w:szCs w:val="22"/>
        </w:rPr>
        <w:t>(ii) Approves the use of an intermediate or major change or alternative to any monitoring requirements or procedures (see §63.90(a) for definition).</w:t>
      </w:r>
    </w:p>
    <w:p w:rsidR="003F210F" w:rsidRPr="004D4C57" w:rsidRDefault="003F210F" w:rsidP="004D4C57">
      <w:pPr>
        <w:pStyle w:val="NormalWeb"/>
        <w:rPr>
          <w:sz w:val="22"/>
          <w:szCs w:val="22"/>
        </w:rPr>
      </w:pPr>
      <w:r w:rsidRPr="004D4C57">
        <w:rPr>
          <w:sz w:val="22"/>
          <w:szCs w:val="22"/>
        </w:rPr>
        <w:t>(iii) Owners or operators with flares subject to §63.11(b) are not subject to the requirements of this section unless otherwise specified in the relevant standard.</w:t>
      </w:r>
    </w:p>
    <w:p w:rsidR="003F210F" w:rsidRPr="004D4C57" w:rsidRDefault="003F210F" w:rsidP="004D4C57">
      <w:pPr>
        <w:pStyle w:val="NormalWeb"/>
        <w:rPr>
          <w:sz w:val="22"/>
          <w:szCs w:val="22"/>
        </w:rPr>
      </w:pPr>
      <w:r w:rsidRPr="004D4C57">
        <w:rPr>
          <w:sz w:val="22"/>
          <w:szCs w:val="22"/>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3F210F" w:rsidRPr="004D4C57" w:rsidRDefault="003F210F" w:rsidP="004D4C57">
      <w:pPr>
        <w:pStyle w:val="NormalWeb"/>
        <w:rPr>
          <w:sz w:val="22"/>
          <w:szCs w:val="22"/>
        </w:rPr>
      </w:pPr>
      <w:r w:rsidRPr="004D4C57">
        <w:rPr>
          <w:sz w:val="22"/>
          <w:szCs w:val="22"/>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3F210F" w:rsidRPr="004D4C57" w:rsidRDefault="003F210F" w:rsidP="004D4C57">
      <w:pPr>
        <w:pStyle w:val="NormalWeb"/>
        <w:rPr>
          <w:sz w:val="22"/>
          <w:szCs w:val="22"/>
        </w:rPr>
      </w:pPr>
      <w:r w:rsidRPr="004D4C57">
        <w:rPr>
          <w:sz w:val="22"/>
          <w:szCs w:val="22"/>
        </w:rPr>
        <w:t>(A) Approved by the Administrator; or</w:t>
      </w:r>
    </w:p>
    <w:p w:rsidR="003F210F" w:rsidRPr="004D4C57" w:rsidRDefault="003F210F" w:rsidP="004D4C57">
      <w:pPr>
        <w:pStyle w:val="NormalWeb"/>
        <w:rPr>
          <w:sz w:val="22"/>
          <w:szCs w:val="22"/>
        </w:rPr>
      </w:pPr>
      <w:r w:rsidRPr="004D4C57">
        <w:rPr>
          <w:sz w:val="22"/>
          <w:szCs w:val="22"/>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3F210F" w:rsidRPr="004D4C57" w:rsidRDefault="003F210F" w:rsidP="004D4C57">
      <w:pPr>
        <w:pStyle w:val="NormalWeb"/>
        <w:rPr>
          <w:sz w:val="22"/>
          <w:szCs w:val="22"/>
        </w:rPr>
      </w:pPr>
      <w:r w:rsidRPr="004D4C57">
        <w:rPr>
          <w:sz w:val="22"/>
          <w:szCs w:val="22"/>
        </w:rPr>
        <w:t xml:space="preserve">(3)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w:t>
      </w:r>
      <w:proofErr w:type="gramStart"/>
      <w:r w:rsidRPr="004D4C57">
        <w:rPr>
          <w:sz w:val="22"/>
          <w:szCs w:val="22"/>
        </w:rPr>
        <w:t>particular reporting</w:t>
      </w:r>
      <w:proofErr w:type="gramEnd"/>
      <w:r w:rsidRPr="004D4C57">
        <w:rPr>
          <w:sz w:val="22"/>
          <w:szCs w:val="22"/>
        </w:rPr>
        <w:t xml:space="preserve"> period to meet the monitoring requirements of this part, then the owner or operator shall report the results from each CMS for the relevant compliance period.</w:t>
      </w:r>
    </w:p>
    <w:p w:rsidR="003F210F" w:rsidRPr="004D4C57" w:rsidRDefault="003F210F" w:rsidP="004D4C57">
      <w:pPr>
        <w:pStyle w:val="NormalWeb"/>
        <w:rPr>
          <w:sz w:val="22"/>
          <w:szCs w:val="22"/>
        </w:rPr>
      </w:pPr>
      <w:r w:rsidRPr="004D4C57">
        <w:rPr>
          <w:sz w:val="22"/>
          <w:szCs w:val="22"/>
        </w:rPr>
        <w:t xml:space="preserve">(c) </w:t>
      </w:r>
      <w:r w:rsidRPr="004D4C57">
        <w:rPr>
          <w:i/>
          <w:iCs/>
          <w:sz w:val="22"/>
          <w:szCs w:val="22"/>
        </w:rPr>
        <w:t>Operation and maintenance of continuous monitoring systems.</w:t>
      </w:r>
      <w:r w:rsidRPr="004D4C57">
        <w:rPr>
          <w:sz w:val="22"/>
          <w:szCs w:val="22"/>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rsidR="003F210F" w:rsidRPr="004D4C57" w:rsidRDefault="003F210F" w:rsidP="004D4C57">
      <w:pPr>
        <w:pStyle w:val="NormalWeb"/>
        <w:rPr>
          <w:sz w:val="22"/>
          <w:szCs w:val="22"/>
        </w:rPr>
      </w:pPr>
      <w:r w:rsidRPr="004D4C57">
        <w:rPr>
          <w:sz w:val="22"/>
          <w:szCs w:val="22"/>
        </w:rPr>
        <w:t xml:space="preserve">(ii) The owner or operator must keep the necessary parts for routine repairs of the affected CMS equipment readily available. </w:t>
      </w:r>
    </w:p>
    <w:p w:rsidR="003F210F" w:rsidRPr="004D4C57" w:rsidRDefault="003F210F" w:rsidP="004D4C57">
      <w:pPr>
        <w:pStyle w:val="NormalWeb"/>
        <w:rPr>
          <w:sz w:val="22"/>
          <w:szCs w:val="22"/>
        </w:rPr>
      </w:pPr>
      <w:r w:rsidRPr="004D4C57">
        <w:rPr>
          <w:sz w:val="22"/>
          <w:szCs w:val="22"/>
        </w:rPr>
        <w:t>(iii) The owner or operator of an affected source must develop a written startup, shutdown, and malfunction plan for CMS as specified in §63.6(e)(3).</w:t>
      </w:r>
    </w:p>
    <w:p w:rsidR="003F210F" w:rsidRPr="004D4C57" w:rsidRDefault="003F210F" w:rsidP="004D4C57">
      <w:pPr>
        <w:pStyle w:val="NormalWeb"/>
        <w:rPr>
          <w:sz w:val="22"/>
          <w:szCs w:val="22"/>
        </w:rPr>
      </w:pPr>
      <w:r w:rsidRPr="004D4C57">
        <w:rPr>
          <w:sz w:val="22"/>
          <w:szCs w:val="22"/>
        </w:rPr>
        <w:lastRenderedPageBreak/>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3F210F" w:rsidRPr="004D4C57" w:rsidRDefault="003F210F" w:rsidP="004D4C57">
      <w:pPr>
        <w:pStyle w:val="NormalWeb"/>
        <w:rPr>
          <w:sz w:val="22"/>
          <w:szCs w:val="22"/>
        </w:rPr>
      </w:pPr>
      <w:r w:rsidRPr="004D4C57">
        <w:rPr>
          <w:sz w:val="22"/>
          <w:szCs w:val="22"/>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3F210F" w:rsidRPr="004D4C57" w:rsidRDefault="003F210F" w:rsidP="004D4C57">
      <w:pPr>
        <w:pStyle w:val="NormalWeb"/>
        <w:rPr>
          <w:sz w:val="22"/>
          <w:szCs w:val="22"/>
        </w:rPr>
      </w:pPr>
      <w:r w:rsidRPr="004D4C57">
        <w:rPr>
          <w:sz w:val="22"/>
          <w:szCs w:val="22"/>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3F210F" w:rsidRPr="004D4C57" w:rsidRDefault="003F210F" w:rsidP="004D4C57">
      <w:pPr>
        <w:pStyle w:val="NormalWeb"/>
        <w:rPr>
          <w:sz w:val="22"/>
          <w:szCs w:val="22"/>
        </w:rPr>
      </w:pPr>
      <w:r w:rsidRPr="004D4C57">
        <w:rPr>
          <w:sz w:val="22"/>
          <w:szCs w:val="22"/>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3F210F" w:rsidRPr="004D4C57" w:rsidRDefault="003F210F" w:rsidP="004D4C57">
      <w:pPr>
        <w:pStyle w:val="NormalWeb"/>
        <w:rPr>
          <w:sz w:val="22"/>
          <w:szCs w:val="22"/>
        </w:rPr>
      </w:pPr>
      <w:r w:rsidRPr="004D4C57">
        <w:rPr>
          <w:sz w:val="22"/>
          <w:szCs w:val="22"/>
        </w:rPr>
        <w:t>(i) All COMS shall complete a minimum of one cycle of sampling and analyzing for each successive 10-second period and one cycle of data recording for each successive 6-minute period.</w:t>
      </w:r>
    </w:p>
    <w:p w:rsidR="003F210F" w:rsidRPr="004D4C57" w:rsidRDefault="003F210F" w:rsidP="004D4C57">
      <w:pPr>
        <w:pStyle w:val="NormalWeb"/>
        <w:rPr>
          <w:sz w:val="22"/>
          <w:szCs w:val="22"/>
        </w:rPr>
      </w:pPr>
      <w:r w:rsidRPr="004D4C57">
        <w:rPr>
          <w:sz w:val="22"/>
          <w:szCs w:val="22"/>
        </w:rPr>
        <w:t>(ii) All CEMS for measuring emissions other than opacity shall complete a minimum of one cycle of operation (sampling, analyzing, and data recording) for each successive 15-minute period.</w:t>
      </w:r>
    </w:p>
    <w:p w:rsidR="003F210F" w:rsidRPr="004D4C57" w:rsidRDefault="003F210F" w:rsidP="004D4C57">
      <w:pPr>
        <w:pStyle w:val="NormalWeb"/>
        <w:rPr>
          <w:sz w:val="22"/>
          <w:szCs w:val="22"/>
        </w:rPr>
      </w:pPr>
      <w:r w:rsidRPr="004D4C57">
        <w:rPr>
          <w:sz w:val="22"/>
          <w:szCs w:val="22"/>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3F210F" w:rsidRPr="004D4C57" w:rsidRDefault="003F210F" w:rsidP="004D4C57">
      <w:pPr>
        <w:pStyle w:val="NormalWeb"/>
        <w:rPr>
          <w:sz w:val="22"/>
          <w:szCs w:val="22"/>
        </w:rPr>
      </w:pPr>
      <w:r w:rsidRPr="004D4C57">
        <w:rPr>
          <w:sz w:val="22"/>
          <w:szCs w:val="22"/>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3F210F" w:rsidRPr="004D4C57" w:rsidRDefault="003F210F" w:rsidP="004D4C57">
      <w:pPr>
        <w:pStyle w:val="NormalWeb"/>
        <w:rPr>
          <w:sz w:val="22"/>
          <w:szCs w:val="22"/>
        </w:rPr>
      </w:pPr>
      <w:r w:rsidRPr="004D4C57">
        <w:rPr>
          <w:sz w:val="22"/>
          <w:szCs w:val="22"/>
        </w:rPr>
        <w:t>(7)(i) A CMS is out of control if—</w:t>
      </w:r>
    </w:p>
    <w:p w:rsidR="003F210F" w:rsidRPr="004D4C57" w:rsidRDefault="003F210F" w:rsidP="004D4C57">
      <w:pPr>
        <w:pStyle w:val="NormalWeb"/>
        <w:rPr>
          <w:sz w:val="22"/>
          <w:szCs w:val="22"/>
        </w:rPr>
      </w:pPr>
      <w:r w:rsidRPr="004D4C57">
        <w:rPr>
          <w:sz w:val="22"/>
          <w:szCs w:val="22"/>
        </w:rPr>
        <w:t xml:space="preserve">(A) The zero (low-level), mid-level (if applicable), or high-level calibration drift (CD) exceeds two times the applicable CD specification in the applicable performance specification or in the relevant standard; or </w:t>
      </w:r>
    </w:p>
    <w:p w:rsidR="003F210F" w:rsidRPr="004D4C57" w:rsidRDefault="003F210F" w:rsidP="004D4C57">
      <w:pPr>
        <w:pStyle w:val="NormalWeb"/>
        <w:rPr>
          <w:sz w:val="22"/>
          <w:szCs w:val="22"/>
        </w:rPr>
      </w:pPr>
      <w:r w:rsidRPr="004D4C57">
        <w:rPr>
          <w:sz w:val="22"/>
          <w:szCs w:val="22"/>
        </w:rPr>
        <w:lastRenderedPageBreak/>
        <w:t>(B) The CMS fails a performance test audit (e.g., cylinder gas audit), relative accuracy audit, relative accuracy test audit, or linearity test audit; or</w:t>
      </w:r>
    </w:p>
    <w:p w:rsidR="003F210F" w:rsidRPr="004D4C57" w:rsidRDefault="003F210F" w:rsidP="004D4C57">
      <w:pPr>
        <w:pStyle w:val="NormalWeb"/>
        <w:rPr>
          <w:sz w:val="22"/>
          <w:szCs w:val="22"/>
        </w:rPr>
      </w:pPr>
      <w:r w:rsidRPr="004D4C57">
        <w:rPr>
          <w:sz w:val="22"/>
          <w:szCs w:val="22"/>
        </w:rPr>
        <w:t>(C) The COMS CD exceeds two times the limit in the applicable performance specification in the relevant standard.</w:t>
      </w:r>
    </w:p>
    <w:p w:rsidR="003F210F" w:rsidRPr="004D4C57" w:rsidRDefault="003F210F" w:rsidP="004D4C57">
      <w:pPr>
        <w:pStyle w:val="NormalWeb"/>
        <w:rPr>
          <w:sz w:val="22"/>
          <w:szCs w:val="22"/>
        </w:rPr>
      </w:pPr>
      <w:r w:rsidRPr="004D4C57">
        <w:rPr>
          <w:sz w:val="22"/>
          <w:szCs w:val="22"/>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3F210F" w:rsidRPr="004D4C57" w:rsidRDefault="003F210F" w:rsidP="004D4C57">
      <w:pPr>
        <w:pStyle w:val="NormalWeb"/>
        <w:rPr>
          <w:sz w:val="22"/>
          <w:szCs w:val="22"/>
        </w:rPr>
      </w:pPr>
      <w:r w:rsidRPr="004D4C57">
        <w:rPr>
          <w:sz w:val="22"/>
          <w:szCs w:val="22"/>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3F210F" w:rsidRPr="004D4C57" w:rsidRDefault="003F210F" w:rsidP="004D4C57">
      <w:pPr>
        <w:pStyle w:val="NormalWeb"/>
        <w:rPr>
          <w:sz w:val="22"/>
          <w:szCs w:val="22"/>
        </w:rPr>
      </w:pPr>
      <w:r w:rsidRPr="004D4C57">
        <w:rPr>
          <w:sz w:val="22"/>
          <w:szCs w:val="22"/>
        </w:rPr>
        <w:t xml:space="preserve">(d) </w:t>
      </w:r>
      <w:r w:rsidRPr="004D4C57">
        <w:rPr>
          <w:i/>
          <w:iCs/>
          <w:sz w:val="22"/>
          <w:szCs w:val="22"/>
        </w:rPr>
        <w:t>Quality control program.</w:t>
      </w:r>
      <w:r w:rsidRPr="004D4C57">
        <w:rPr>
          <w:sz w:val="22"/>
          <w:szCs w:val="22"/>
        </w:rPr>
        <w:t xml:space="preserve"> (1) The results of the quality control program required in this paragraph will be considered by the Administrator when he/she determines the validity of monitoring data.</w:t>
      </w:r>
    </w:p>
    <w:p w:rsidR="003F210F" w:rsidRPr="004D4C57" w:rsidRDefault="003F210F" w:rsidP="004D4C57">
      <w:pPr>
        <w:pStyle w:val="NormalWeb"/>
        <w:rPr>
          <w:sz w:val="22"/>
          <w:szCs w:val="22"/>
        </w:rPr>
      </w:pPr>
      <w:r w:rsidRPr="004D4C57">
        <w:rPr>
          <w:sz w:val="22"/>
          <w:szCs w:val="22"/>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3F210F" w:rsidRPr="004D4C57" w:rsidRDefault="003F210F" w:rsidP="004D4C57">
      <w:pPr>
        <w:pStyle w:val="NormalWeb"/>
        <w:rPr>
          <w:sz w:val="22"/>
          <w:szCs w:val="22"/>
        </w:rPr>
      </w:pPr>
      <w:r w:rsidRPr="004D4C57">
        <w:rPr>
          <w:sz w:val="22"/>
          <w:szCs w:val="22"/>
        </w:rPr>
        <w:t>(i) Initial and any subsequent calibration of the CMS;</w:t>
      </w:r>
    </w:p>
    <w:p w:rsidR="003F210F" w:rsidRPr="004D4C57" w:rsidRDefault="003F210F" w:rsidP="004D4C57">
      <w:pPr>
        <w:pStyle w:val="NormalWeb"/>
        <w:rPr>
          <w:sz w:val="22"/>
          <w:szCs w:val="22"/>
        </w:rPr>
      </w:pPr>
      <w:r w:rsidRPr="004D4C57">
        <w:rPr>
          <w:sz w:val="22"/>
          <w:szCs w:val="22"/>
        </w:rPr>
        <w:t>(ii) Determination and adjustment of the calibration drift of the CMS;</w:t>
      </w:r>
    </w:p>
    <w:p w:rsidR="003F210F" w:rsidRPr="004D4C57" w:rsidRDefault="003F210F" w:rsidP="004D4C57">
      <w:pPr>
        <w:pStyle w:val="NormalWeb"/>
        <w:rPr>
          <w:sz w:val="22"/>
          <w:szCs w:val="22"/>
        </w:rPr>
      </w:pPr>
      <w:r w:rsidRPr="004D4C57">
        <w:rPr>
          <w:sz w:val="22"/>
          <w:szCs w:val="22"/>
        </w:rPr>
        <w:t>(iii) Preventive maintenance of the CMS, including spare parts inventory;</w:t>
      </w:r>
    </w:p>
    <w:p w:rsidR="003F210F" w:rsidRPr="004D4C57" w:rsidRDefault="003F210F" w:rsidP="004D4C57">
      <w:pPr>
        <w:pStyle w:val="NormalWeb"/>
        <w:rPr>
          <w:sz w:val="22"/>
          <w:szCs w:val="22"/>
        </w:rPr>
      </w:pPr>
      <w:r w:rsidRPr="004D4C57">
        <w:rPr>
          <w:sz w:val="22"/>
          <w:szCs w:val="22"/>
        </w:rPr>
        <w:t>(iv) Data recording, calculations, and reporting;</w:t>
      </w:r>
    </w:p>
    <w:p w:rsidR="003F210F" w:rsidRPr="004D4C57" w:rsidRDefault="003F210F" w:rsidP="004D4C57">
      <w:pPr>
        <w:pStyle w:val="NormalWeb"/>
        <w:rPr>
          <w:sz w:val="22"/>
          <w:szCs w:val="22"/>
        </w:rPr>
      </w:pPr>
      <w:r w:rsidRPr="004D4C57">
        <w:rPr>
          <w:sz w:val="22"/>
          <w:szCs w:val="22"/>
        </w:rPr>
        <w:t>(v) Accuracy audit procedures, including sampling and analysis methods; and</w:t>
      </w:r>
    </w:p>
    <w:p w:rsidR="003F210F" w:rsidRPr="004D4C57" w:rsidRDefault="003F210F" w:rsidP="004D4C57">
      <w:pPr>
        <w:pStyle w:val="NormalWeb"/>
        <w:rPr>
          <w:sz w:val="22"/>
          <w:szCs w:val="22"/>
        </w:rPr>
      </w:pPr>
      <w:r w:rsidRPr="004D4C57">
        <w:rPr>
          <w:sz w:val="22"/>
          <w:szCs w:val="22"/>
        </w:rPr>
        <w:t>(vi) Program of corrective action for a malfunctioning CMS.</w:t>
      </w:r>
    </w:p>
    <w:p w:rsidR="003F210F" w:rsidRPr="004D4C57" w:rsidRDefault="003F210F" w:rsidP="004D4C57">
      <w:pPr>
        <w:pStyle w:val="NormalWeb"/>
        <w:rPr>
          <w:sz w:val="22"/>
          <w:szCs w:val="22"/>
        </w:rPr>
      </w:pPr>
      <w:r w:rsidRPr="004D4C57">
        <w:rPr>
          <w:sz w:val="22"/>
          <w:szCs w:val="22"/>
        </w:rPr>
        <w:t xml:space="preserve">(3)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w:t>
      </w:r>
      <w:r w:rsidRPr="004D4C57">
        <w:rPr>
          <w:sz w:val="22"/>
          <w:szCs w:val="22"/>
        </w:rPr>
        <w:lastRenderedPageBreak/>
        <w:t>relevant, e.g., program of corrective action for a malfunctioning CMS, these written procedures may be incorporated as part of the affected source's startup, shutdown, and malfunction plan to avoid duplication of planning and recordkeeping efforts.</w:t>
      </w:r>
    </w:p>
    <w:p w:rsidR="003F210F" w:rsidRPr="004D4C57" w:rsidRDefault="003F210F" w:rsidP="004D4C57">
      <w:pPr>
        <w:pStyle w:val="NormalWeb"/>
        <w:rPr>
          <w:sz w:val="22"/>
          <w:szCs w:val="22"/>
        </w:rPr>
      </w:pPr>
      <w:r w:rsidRPr="004D4C57">
        <w:rPr>
          <w:sz w:val="22"/>
          <w:szCs w:val="22"/>
        </w:rPr>
        <w:t xml:space="preserve">(e) </w:t>
      </w:r>
      <w:r w:rsidRPr="004D4C57">
        <w:rPr>
          <w:i/>
          <w:iCs/>
          <w:sz w:val="22"/>
          <w:szCs w:val="22"/>
        </w:rPr>
        <w:t>Performance evaluation of continuous monitoring systems</w:t>
      </w:r>
      <w:proofErr w:type="gramStart"/>
      <w:r w:rsidRPr="004D4C57">
        <w:rPr>
          <w:sz w:val="22"/>
          <w:szCs w:val="22"/>
        </w:rPr>
        <w:t>—(</w:t>
      </w:r>
      <w:proofErr w:type="gramEnd"/>
      <w:r w:rsidRPr="004D4C57">
        <w:rPr>
          <w:sz w:val="22"/>
          <w:szCs w:val="22"/>
        </w:rPr>
        <w:t xml:space="preserve">1) </w:t>
      </w:r>
      <w:r w:rsidRPr="004D4C57">
        <w:rPr>
          <w:i/>
          <w:iCs/>
          <w:sz w:val="22"/>
          <w:szCs w:val="22"/>
        </w:rPr>
        <w:t>General.</w:t>
      </w:r>
      <w:r w:rsidRPr="004D4C57">
        <w:rPr>
          <w:sz w:val="22"/>
          <w:szCs w:val="22"/>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3F210F" w:rsidRPr="004D4C57" w:rsidRDefault="003F210F" w:rsidP="004D4C57">
      <w:pPr>
        <w:pStyle w:val="NormalWeb"/>
        <w:rPr>
          <w:sz w:val="22"/>
          <w:szCs w:val="22"/>
        </w:rPr>
      </w:pPr>
      <w:r w:rsidRPr="004D4C57">
        <w:rPr>
          <w:sz w:val="22"/>
          <w:szCs w:val="22"/>
        </w:rPr>
        <w:t xml:space="preserve">(2) </w:t>
      </w:r>
      <w:r w:rsidRPr="004D4C57">
        <w:rPr>
          <w:i/>
          <w:iCs/>
          <w:sz w:val="22"/>
          <w:szCs w:val="22"/>
        </w:rPr>
        <w:t>Notification of performance evaluation.</w:t>
      </w:r>
      <w:r w:rsidRPr="004D4C57">
        <w:rPr>
          <w:sz w:val="22"/>
          <w:szCs w:val="22"/>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3F210F" w:rsidRPr="004D4C57" w:rsidRDefault="003F210F" w:rsidP="004D4C57">
      <w:pPr>
        <w:pStyle w:val="NormalWeb"/>
        <w:rPr>
          <w:sz w:val="22"/>
          <w:szCs w:val="22"/>
        </w:rPr>
      </w:pPr>
      <w:r w:rsidRPr="004D4C57">
        <w:rPr>
          <w:sz w:val="22"/>
          <w:szCs w:val="22"/>
        </w:rPr>
        <w:t xml:space="preserve">(3)(i) </w:t>
      </w:r>
      <w:r w:rsidRPr="004D4C57">
        <w:rPr>
          <w:i/>
          <w:iCs/>
          <w:sz w:val="22"/>
          <w:szCs w:val="22"/>
        </w:rPr>
        <w:t>Submission of site-specific performance evaluation test plan.</w:t>
      </w:r>
      <w:r w:rsidRPr="004D4C57">
        <w:rPr>
          <w:sz w:val="22"/>
          <w:szCs w:val="22"/>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3F210F" w:rsidRPr="004D4C57" w:rsidRDefault="003F210F" w:rsidP="004D4C57">
      <w:pPr>
        <w:pStyle w:val="NormalWeb"/>
        <w:rPr>
          <w:sz w:val="22"/>
          <w:szCs w:val="22"/>
        </w:rPr>
      </w:pPr>
      <w:r w:rsidRPr="004D4C57">
        <w:rPr>
          <w:sz w:val="22"/>
          <w:szCs w:val="22"/>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3F210F" w:rsidRPr="004D4C57" w:rsidRDefault="003F210F" w:rsidP="004D4C57">
      <w:pPr>
        <w:pStyle w:val="NormalWeb"/>
        <w:rPr>
          <w:sz w:val="22"/>
          <w:szCs w:val="22"/>
        </w:rPr>
      </w:pPr>
      <w:r w:rsidRPr="004D4C57">
        <w:rPr>
          <w:sz w:val="22"/>
          <w:szCs w:val="22"/>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3F210F" w:rsidRPr="004D4C57" w:rsidRDefault="003F210F" w:rsidP="004D4C57">
      <w:pPr>
        <w:pStyle w:val="NormalWeb"/>
        <w:rPr>
          <w:sz w:val="22"/>
          <w:szCs w:val="22"/>
        </w:rPr>
      </w:pPr>
      <w:r w:rsidRPr="004D4C57">
        <w:rPr>
          <w:sz w:val="22"/>
          <w:szCs w:val="22"/>
        </w:rPr>
        <w:t>(iv) The Administrator may request additional relevant information after the submittal of a site-specific performance evaluation test plan.</w:t>
      </w:r>
    </w:p>
    <w:p w:rsidR="003F210F" w:rsidRPr="004D4C57" w:rsidRDefault="003F210F" w:rsidP="004D4C57">
      <w:pPr>
        <w:pStyle w:val="NormalWeb"/>
        <w:rPr>
          <w:sz w:val="22"/>
          <w:szCs w:val="22"/>
        </w:rPr>
      </w:pPr>
      <w:r w:rsidRPr="004D4C57">
        <w:rPr>
          <w:sz w:val="22"/>
          <w:szCs w:val="22"/>
        </w:rPr>
        <w:t xml:space="preserve">(v) </w:t>
      </w:r>
      <w:proofErr w:type="gramStart"/>
      <w:r w:rsidRPr="004D4C57">
        <w:rPr>
          <w:sz w:val="22"/>
          <w:szCs w:val="22"/>
        </w:rPr>
        <w:t>In the event that</w:t>
      </w:r>
      <w:proofErr w:type="gramEnd"/>
      <w:r w:rsidRPr="004D4C57">
        <w:rPr>
          <w:sz w:val="22"/>
          <w:szCs w:val="22"/>
        </w:rPr>
        <w:t xml:space="preserve"> the Administrator fails to approve or disapprove the site-specific performance evaluation test plan within the time period specified in §63.7(c)(3), the following conditions shall apply:</w:t>
      </w:r>
    </w:p>
    <w:p w:rsidR="003F210F" w:rsidRPr="004D4C57" w:rsidRDefault="003F210F" w:rsidP="004D4C57">
      <w:pPr>
        <w:pStyle w:val="NormalWeb"/>
        <w:rPr>
          <w:sz w:val="22"/>
          <w:szCs w:val="22"/>
        </w:rPr>
      </w:pPr>
      <w:r w:rsidRPr="004D4C57">
        <w:rPr>
          <w:sz w:val="22"/>
          <w:szCs w:val="22"/>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3F210F" w:rsidRPr="004D4C57" w:rsidRDefault="003F210F" w:rsidP="004D4C57">
      <w:pPr>
        <w:pStyle w:val="NormalWeb"/>
        <w:rPr>
          <w:sz w:val="22"/>
          <w:szCs w:val="22"/>
        </w:rPr>
      </w:pPr>
      <w:r w:rsidRPr="004D4C57">
        <w:rPr>
          <w:sz w:val="22"/>
          <w:szCs w:val="22"/>
        </w:rPr>
        <w:t xml:space="preserve">(B)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w:t>
      </w:r>
      <w:r w:rsidRPr="004D4C57">
        <w:rPr>
          <w:sz w:val="22"/>
          <w:szCs w:val="22"/>
        </w:rPr>
        <w:lastRenderedPageBreak/>
        <w:t>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3F210F" w:rsidRPr="004D4C57" w:rsidRDefault="003F210F" w:rsidP="004D4C57">
      <w:pPr>
        <w:pStyle w:val="NormalWeb"/>
        <w:rPr>
          <w:sz w:val="22"/>
          <w:szCs w:val="22"/>
        </w:rPr>
      </w:pPr>
      <w:r w:rsidRPr="004D4C57">
        <w:rPr>
          <w:sz w:val="22"/>
          <w:szCs w:val="22"/>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3F210F" w:rsidRPr="004D4C57" w:rsidRDefault="003F210F" w:rsidP="004D4C57">
      <w:pPr>
        <w:pStyle w:val="NormalWeb"/>
        <w:rPr>
          <w:sz w:val="22"/>
          <w:szCs w:val="22"/>
        </w:rPr>
      </w:pPr>
      <w:r w:rsidRPr="004D4C57">
        <w:rPr>
          <w:sz w:val="22"/>
          <w:szCs w:val="22"/>
        </w:rPr>
        <w:t xml:space="preserve">(A) Relieve an owner or operator of legal responsibility for compliance with any applicable provisions of this part or with any other applicable Federal, State, or local requirement; or </w:t>
      </w:r>
    </w:p>
    <w:p w:rsidR="003F210F" w:rsidRPr="004D4C57" w:rsidRDefault="003F210F" w:rsidP="004D4C57">
      <w:pPr>
        <w:pStyle w:val="NormalWeb"/>
        <w:rPr>
          <w:sz w:val="22"/>
          <w:szCs w:val="22"/>
        </w:rPr>
      </w:pPr>
      <w:r w:rsidRPr="004D4C57">
        <w:rPr>
          <w:sz w:val="22"/>
          <w:szCs w:val="22"/>
        </w:rPr>
        <w:t xml:space="preserve">(B) Prevent the Administrator from implementing or enforcing this part or taking any other action under the Act. </w:t>
      </w:r>
    </w:p>
    <w:p w:rsidR="003F210F" w:rsidRPr="004D4C57" w:rsidRDefault="003F210F" w:rsidP="004D4C57">
      <w:pPr>
        <w:pStyle w:val="NormalWeb"/>
        <w:rPr>
          <w:sz w:val="22"/>
          <w:szCs w:val="22"/>
        </w:rPr>
      </w:pPr>
      <w:r w:rsidRPr="004D4C57">
        <w:rPr>
          <w:sz w:val="22"/>
          <w:szCs w:val="22"/>
        </w:rPr>
        <w:t xml:space="preserve">(4) </w:t>
      </w:r>
      <w:r w:rsidRPr="004D4C57">
        <w:rPr>
          <w:i/>
          <w:iCs/>
          <w:sz w:val="22"/>
          <w:szCs w:val="22"/>
        </w:rPr>
        <w:t>Conduct of performance evaluation and performance evaluation dates.</w:t>
      </w:r>
      <w:r w:rsidRPr="004D4C57">
        <w:rPr>
          <w:sz w:val="22"/>
          <w:szCs w:val="22"/>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3F210F" w:rsidRPr="004D4C57" w:rsidRDefault="003F210F" w:rsidP="004D4C57">
      <w:pPr>
        <w:pStyle w:val="NormalWeb"/>
        <w:rPr>
          <w:sz w:val="22"/>
          <w:szCs w:val="22"/>
        </w:rPr>
      </w:pPr>
      <w:r w:rsidRPr="004D4C57">
        <w:rPr>
          <w:sz w:val="22"/>
          <w:szCs w:val="22"/>
        </w:rPr>
        <w:t xml:space="preserve">(5) </w:t>
      </w:r>
      <w:r w:rsidRPr="004D4C57">
        <w:rPr>
          <w:i/>
          <w:iCs/>
          <w:sz w:val="22"/>
          <w:szCs w:val="22"/>
        </w:rPr>
        <w:t>Reporting performance evaluation results.</w:t>
      </w:r>
      <w:r w:rsidRPr="004D4C57">
        <w:rPr>
          <w:sz w:val="22"/>
          <w:szCs w:val="22"/>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3F210F" w:rsidRPr="004D4C57" w:rsidRDefault="003F210F" w:rsidP="004D4C57">
      <w:pPr>
        <w:pStyle w:val="NormalWeb"/>
        <w:rPr>
          <w:sz w:val="22"/>
          <w:szCs w:val="22"/>
        </w:rPr>
      </w:pPr>
      <w:r w:rsidRPr="004D4C57">
        <w:rPr>
          <w:sz w:val="22"/>
          <w:szCs w:val="22"/>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3F210F" w:rsidRPr="004D4C57" w:rsidRDefault="003F210F" w:rsidP="004D4C57">
      <w:pPr>
        <w:pStyle w:val="NormalWeb"/>
        <w:rPr>
          <w:sz w:val="22"/>
          <w:szCs w:val="22"/>
        </w:rPr>
      </w:pPr>
      <w:r w:rsidRPr="004D4C57">
        <w:rPr>
          <w:sz w:val="22"/>
          <w:szCs w:val="22"/>
        </w:rPr>
        <w:t xml:space="preserve">(f) </w:t>
      </w:r>
      <w:r w:rsidRPr="004D4C57">
        <w:rPr>
          <w:i/>
          <w:iCs/>
          <w:sz w:val="22"/>
          <w:szCs w:val="22"/>
        </w:rPr>
        <w:t>Use of an alternative monitoring method</w:t>
      </w:r>
      <w:proofErr w:type="gramStart"/>
      <w:r w:rsidRPr="004D4C57">
        <w:rPr>
          <w:sz w:val="22"/>
          <w:szCs w:val="22"/>
        </w:rPr>
        <w:t>—(</w:t>
      </w:r>
      <w:proofErr w:type="gramEnd"/>
      <w:r w:rsidRPr="004D4C57">
        <w:rPr>
          <w:sz w:val="22"/>
          <w:szCs w:val="22"/>
        </w:rPr>
        <w:t xml:space="preserve">1) </w:t>
      </w:r>
      <w:r w:rsidRPr="004D4C57">
        <w:rPr>
          <w:i/>
          <w:iCs/>
          <w:sz w:val="22"/>
          <w:szCs w:val="22"/>
        </w:rPr>
        <w:t>General.</w:t>
      </w:r>
      <w:r w:rsidRPr="004D4C57">
        <w:rPr>
          <w:sz w:val="22"/>
          <w:szCs w:val="22"/>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3F210F" w:rsidRPr="004D4C57" w:rsidRDefault="003F210F" w:rsidP="004D4C57">
      <w:pPr>
        <w:pStyle w:val="NormalWeb"/>
        <w:rPr>
          <w:sz w:val="22"/>
          <w:szCs w:val="22"/>
        </w:rPr>
      </w:pPr>
      <w:r w:rsidRPr="004D4C57">
        <w:rPr>
          <w:sz w:val="22"/>
          <w:szCs w:val="22"/>
        </w:rPr>
        <w:t xml:space="preserve">(2) After receipt and consideration of written application, the Administrator may approve alternatives to any monitoring methods or procedures of this part including, but not limited to, the following: </w:t>
      </w:r>
    </w:p>
    <w:p w:rsidR="003F210F" w:rsidRPr="004D4C57" w:rsidRDefault="003F210F" w:rsidP="004D4C57">
      <w:pPr>
        <w:pStyle w:val="NormalWeb"/>
        <w:rPr>
          <w:sz w:val="22"/>
          <w:szCs w:val="22"/>
        </w:rPr>
      </w:pPr>
      <w:r w:rsidRPr="004D4C57">
        <w:rPr>
          <w:sz w:val="22"/>
          <w:szCs w:val="22"/>
        </w:rPr>
        <w:lastRenderedPageBreak/>
        <w:t xml:space="preserve">(i) Alternative monitoring requirements when installation of a CMS specified by a relevant standard would not provide accurate measurements due to liquid water or other interferences caused by substances within the effluent gases; </w:t>
      </w:r>
    </w:p>
    <w:p w:rsidR="003F210F" w:rsidRPr="004D4C57" w:rsidRDefault="003F210F" w:rsidP="004D4C57">
      <w:pPr>
        <w:pStyle w:val="NormalWeb"/>
        <w:rPr>
          <w:sz w:val="22"/>
          <w:szCs w:val="22"/>
        </w:rPr>
      </w:pPr>
      <w:r w:rsidRPr="004D4C57">
        <w:rPr>
          <w:sz w:val="22"/>
          <w:szCs w:val="22"/>
        </w:rPr>
        <w:t xml:space="preserve">(ii) Alternative monitoring requirements when the affected source is infrequently operated; </w:t>
      </w:r>
    </w:p>
    <w:p w:rsidR="003F210F" w:rsidRPr="004D4C57" w:rsidRDefault="003F210F" w:rsidP="004D4C57">
      <w:pPr>
        <w:pStyle w:val="NormalWeb"/>
        <w:rPr>
          <w:sz w:val="22"/>
          <w:szCs w:val="22"/>
        </w:rPr>
      </w:pPr>
      <w:r w:rsidRPr="004D4C57">
        <w:rPr>
          <w:sz w:val="22"/>
          <w:szCs w:val="22"/>
        </w:rPr>
        <w:t xml:space="preserve">(iii) Alternative monitoring requirements to accommodate CEMS that require additional measurements to correct for stack moisture conditions; </w:t>
      </w:r>
    </w:p>
    <w:p w:rsidR="003F210F" w:rsidRPr="004D4C57" w:rsidRDefault="003F210F" w:rsidP="004D4C57">
      <w:pPr>
        <w:pStyle w:val="NormalWeb"/>
        <w:rPr>
          <w:sz w:val="22"/>
          <w:szCs w:val="22"/>
        </w:rPr>
      </w:pPr>
      <w:r w:rsidRPr="004D4C57">
        <w:rPr>
          <w:sz w:val="22"/>
          <w:szCs w:val="22"/>
        </w:rPr>
        <w:t xml:space="preserve">(iv) Alternative locations for installing CMS when the owner or operator can demonstrate that installation at alternate locations will enable accurate and representative measurements; </w:t>
      </w:r>
    </w:p>
    <w:p w:rsidR="003F210F" w:rsidRPr="004D4C57" w:rsidRDefault="003F210F" w:rsidP="004D4C57">
      <w:pPr>
        <w:pStyle w:val="NormalWeb"/>
        <w:rPr>
          <w:sz w:val="22"/>
          <w:szCs w:val="22"/>
        </w:rPr>
      </w:pPr>
      <w:r w:rsidRPr="004D4C57">
        <w:rPr>
          <w:sz w:val="22"/>
          <w:szCs w:val="22"/>
        </w:rPr>
        <w:t xml:space="preserve">(v) Alternate methods for converting pollutant concentration measurements to units of the relevant standard; </w:t>
      </w:r>
    </w:p>
    <w:p w:rsidR="003F210F" w:rsidRPr="004D4C57" w:rsidRDefault="003F210F" w:rsidP="004D4C57">
      <w:pPr>
        <w:pStyle w:val="NormalWeb"/>
        <w:rPr>
          <w:sz w:val="22"/>
          <w:szCs w:val="22"/>
        </w:rPr>
      </w:pPr>
      <w:r w:rsidRPr="004D4C57">
        <w:rPr>
          <w:sz w:val="22"/>
          <w:szCs w:val="22"/>
        </w:rPr>
        <w:t xml:space="preserve">(vi) Alternate procedures for performing daily checks of zero (low-level) and high-level drift that do not involve use of high-level gases or test cells; </w:t>
      </w:r>
    </w:p>
    <w:p w:rsidR="003F210F" w:rsidRPr="004D4C57" w:rsidRDefault="003F210F" w:rsidP="004D4C57">
      <w:pPr>
        <w:pStyle w:val="NormalWeb"/>
        <w:rPr>
          <w:sz w:val="22"/>
          <w:szCs w:val="22"/>
        </w:rPr>
      </w:pPr>
      <w:r w:rsidRPr="004D4C57">
        <w:rPr>
          <w:sz w:val="22"/>
          <w:szCs w:val="22"/>
        </w:rPr>
        <w:t xml:space="preserve">(vii) Alternatives to the American Society for Testing and Materials (ASTM) test methods or sampling procedures specified by any relevant standard; </w:t>
      </w:r>
    </w:p>
    <w:p w:rsidR="003F210F" w:rsidRPr="004D4C57" w:rsidRDefault="003F210F" w:rsidP="004D4C57">
      <w:pPr>
        <w:pStyle w:val="NormalWeb"/>
        <w:rPr>
          <w:sz w:val="22"/>
          <w:szCs w:val="22"/>
        </w:rPr>
      </w:pPr>
      <w:r w:rsidRPr="004D4C57">
        <w:rPr>
          <w:sz w:val="22"/>
          <w:szCs w:val="22"/>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3F210F" w:rsidRPr="004D4C57" w:rsidRDefault="003F210F" w:rsidP="004D4C57">
      <w:pPr>
        <w:pStyle w:val="NormalWeb"/>
        <w:rPr>
          <w:sz w:val="22"/>
          <w:szCs w:val="22"/>
        </w:rPr>
      </w:pPr>
      <w:r w:rsidRPr="004D4C57">
        <w:rPr>
          <w:sz w:val="22"/>
          <w:szCs w:val="22"/>
        </w:rPr>
        <w:t xml:space="preserve">(ix) Alternative monitoring requirements when the effluent from a single affected source or the combined effluent from two or more affected sources is released to the atmosphere through more than one point. </w:t>
      </w:r>
    </w:p>
    <w:p w:rsidR="003F210F" w:rsidRPr="004D4C57" w:rsidRDefault="003F210F" w:rsidP="004D4C57">
      <w:pPr>
        <w:pStyle w:val="NormalWeb"/>
        <w:rPr>
          <w:sz w:val="22"/>
          <w:szCs w:val="22"/>
        </w:rPr>
      </w:pPr>
      <w:r w:rsidRPr="004D4C57">
        <w:rPr>
          <w:sz w:val="22"/>
          <w:szCs w:val="22"/>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3F210F" w:rsidRPr="004D4C57" w:rsidRDefault="003F210F" w:rsidP="004D4C57">
      <w:pPr>
        <w:pStyle w:val="NormalWeb"/>
        <w:rPr>
          <w:sz w:val="22"/>
          <w:szCs w:val="22"/>
        </w:rPr>
      </w:pPr>
      <w:r w:rsidRPr="004D4C57">
        <w:rPr>
          <w:sz w:val="22"/>
          <w:szCs w:val="22"/>
        </w:rPr>
        <w:t xml:space="preserve">(4)(i) </w:t>
      </w:r>
      <w:r w:rsidRPr="004D4C57">
        <w:rPr>
          <w:i/>
          <w:iCs/>
          <w:sz w:val="22"/>
          <w:szCs w:val="22"/>
        </w:rPr>
        <w:t>Request to use alternative monitoring procedure.</w:t>
      </w:r>
      <w:r w:rsidRPr="004D4C57">
        <w:rPr>
          <w:sz w:val="22"/>
          <w:szCs w:val="22"/>
        </w:rPr>
        <w:t xml:space="preserve"> An owner or operator who wishes to use an alternative monitoring procedure must </w:t>
      </w:r>
      <w:proofErr w:type="gramStart"/>
      <w:r w:rsidRPr="004D4C57">
        <w:rPr>
          <w:sz w:val="22"/>
          <w:szCs w:val="22"/>
        </w:rPr>
        <w:t>submit an application</w:t>
      </w:r>
      <w:proofErr w:type="gramEnd"/>
      <w:r w:rsidRPr="004D4C57">
        <w:rPr>
          <w:sz w:val="22"/>
          <w:szCs w:val="22"/>
        </w:rPr>
        <w:t xml:space="preserve">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3F210F" w:rsidRPr="004D4C57" w:rsidRDefault="003F210F" w:rsidP="004D4C57">
      <w:pPr>
        <w:pStyle w:val="NormalWeb"/>
        <w:rPr>
          <w:sz w:val="22"/>
          <w:szCs w:val="22"/>
        </w:rPr>
      </w:pPr>
      <w:r w:rsidRPr="004D4C57">
        <w:rPr>
          <w:sz w:val="22"/>
          <w:szCs w:val="22"/>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3F210F" w:rsidRPr="004D4C57" w:rsidRDefault="003F210F" w:rsidP="004D4C57">
      <w:pPr>
        <w:pStyle w:val="NormalWeb"/>
        <w:rPr>
          <w:sz w:val="22"/>
          <w:szCs w:val="22"/>
        </w:rPr>
      </w:pPr>
      <w:r w:rsidRPr="004D4C57">
        <w:rPr>
          <w:sz w:val="22"/>
          <w:szCs w:val="22"/>
        </w:rPr>
        <w:lastRenderedPageBreak/>
        <w:t xml:space="preserve">(iii) The owner or operator may submit the information required in this paragraph well in advance of the submittal dates specified in paragraph (f)(4)(i) above to ensure a timely review by the Administrator </w:t>
      </w:r>
      <w:proofErr w:type="gramStart"/>
      <w:r w:rsidRPr="004D4C57">
        <w:rPr>
          <w:sz w:val="22"/>
          <w:szCs w:val="22"/>
        </w:rPr>
        <w:t>in order to</w:t>
      </w:r>
      <w:proofErr w:type="gramEnd"/>
      <w:r w:rsidRPr="004D4C57">
        <w:rPr>
          <w:sz w:val="22"/>
          <w:szCs w:val="22"/>
        </w:rPr>
        <w:t xml:space="preserve"> meet the compliance demonstration date specified in this section or the relevant standard. </w:t>
      </w:r>
    </w:p>
    <w:p w:rsidR="003F210F" w:rsidRPr="004D4C57" w:rsidRDefault="003F210F" w:rsidP="004D4C57">
      <w:pPr>
        <w:pStyle w:val="NormalWeb"/>
        <w:rPr>
          <w:sz w:val="22"/>
          <w:szCs w:val="22"/>
        </w:rPr>
      </w:pPr>
      <w:r w:rsidRPr="004D4C57">
        <w:rPr>
          <w:sz w:val="22"/>
          <w:szCs w:val="22"/>
        </w:rPr>
        <w:t xml:space="preserve">(iv) Application for minor changes to monitoring procedures, as specified in paragraph (b)(1) of this section, may be made in the site-specific performance evaluation plan. </w:t>
      </w:r>
    </w:p>
    <w:p w:rsidR="003F210F" w:rsidRPr="004D4C57" w:rsidRDefault="003F210F" w:rsidP="004D4C57">
      <w:pPr>
        <w:pStyle w:val="NormalWeb"/>
        <w:rPr>
          <w:sz w:val="22"/>
          <w:szCs w:val="22"/>
        </w:rPr>
      </w:pPr>
      <w:r w:rsidRPr="004D4C57">
        <w:rPr>
          <w:sz w:val="22"/>
          <w:szCs w:val="22"/>
        </w:rPr>
        <w:t xml:space="preserve">(5) </w:t>
      </w:r>
      <w:r w:rsidRPr="004D4C57">
        <w:rPr>
          <w:i/>
          <w:iCs/>
          <w:sz w:val="22"/>
          <w:szCs w:val="22"/>
        </w:rPr>
        <w:t>Approval of request to use alternative monitoring procedure.</w:t>
      </w:r>
      <w:r w:rsidRPr="004D4C57">
        <w:rPr>
          <w:sz w:val="22"/>
          <w:szCs w:val="22"/>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3F210F" w:rsidRPr="004D4C57" w:rsidRDefault="003F210F" w:rsidP="004D4C57">
      <w:pPr>
        <w:pStyle w:val="NormalWeb"/>
        <w:rPr>
          <w:sz w:val="22"/>
          <w:szCs w:val="22"/>
        </w:rPr>
      </w:pPr>
      <w:r w:rsidRPr="004D4C57">
        <w:rPr>
          <w:sz w:val="22"/>
          <w:szCs w:val="22"/>
        </w:rPr>
        <w:t xml:space="preserve">(A) Notice of the information and findings on which the intended disapproval is based; and </w:t>
      </w:r>
    </w:p>
    <w:p w:rsidR="003F210F" w:rsidRPr="004D4C57" w:rsidRDefault="003F210F" w:rsidP="004D4C57">
      <w:pPr>
        <w:pStyle w:val="NormalWeb"/>
        <w:rPr>
          <w:sz w:val="22"/>
          <w:szCs w:val="22"/>
        </w:rPr>
      </w:pPr>
      <w:r w:rsidRPr="004D4C57">
        <w:rPr>
          <w:sz w:val="22"/>
          <w:szCs w:val="22"/>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3F210F" w:rsidRPr="004D4C57" w:rsidRDefault="003F210F" w:rsidP="004D4C57">
      <w:pPr>
        <w:pStyle w:val="NormalWeb"/>
        <w:rPr>
          <w:sz w:val="22"/>
          <w:szCs w:val="22"/>
        </w:rPr>
      </w:pPr>
      <w:r w:rsidRPr="004D4C57">
        <w:rPr>
          <w:sz w:val="22"/>
          <w:szCs w:val="22"/>
        </w:rPr>
        <w:t xml:space="preserve">(ii) The Administrator may establish general procedures and criteria in a relevant standard to accomplish the requirements of paragraph (f)(5)(i) of this section. </w:t>
      </w:r>
    </w:p>
    <w:p w:rsidR="003F210F" w:rsidRPr="004D4C57" w:rsidRDefault="003F210F" w:rsidP="004D4C57">
      <w:pPr>
        <w:pStyle w:val="NormalWeb"/>
        <w:rPr>
          <w:sz w:val="22"/>
          <w:szCs w:val="22"/>
        </w:rPr>
      </w:pPr>
      <w:r w:rsidRPr="004D4C57">
        <w:rPr>
          <w:sz w:val="22"/>
          <w:szCs w:val="22"/>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3F210F" w:rsidRPr="004D4C57" w:rsidRDefault="003F210F" w:rsidP="004D4C57">
      <w:pPr>
        <w:pStyle w:val="NormalWeb"/>
        <w:rPr>
          <w:sz w:val="22"/>
          <w:szCs w:val="22"/>
        </w:rPr>
      </w:pPr>
      <w:r w:rsidRPr="004D4C57">
        <w:rPr>
          <w:sz w:val="22"/>
          <w:szCs w:val="22"/>
        </w:rPr>
        <w:t xml:space="preserve">(6) </w:t>
      </w:r>
      <w:r w:rsidRPr="004D4C57">
        <w:rPr>
          <w:i/>
          <w:iCs/>
          <w:sz w:val="22"/>
          <w:szCs w:val="22"/>
        </w:rPr>
        <w:t>Alternative to the relative accuracy test.</w:t>
      </w:r>
      <w:r w:rsidRPr="004D4C57">
        <w:rPr>
          <w:sz w:val="22"/>
          <w:szCs w:val="22"/>
        </w:rPr>
        <w:t xml:space="preserve"> An alternative to the relative accuracy test for CEMS specified in a relevant standard may be requested as follows: </w:t>
      </w:r>
    </w:p>
    <w:p w:rsidR="003F210F" w:rsidRPr="004D4C57" w:rsidRDefault="003F210F" w:rsidP="004D4C57">
      <w:pPr>
        <w:pStyle w:val="NormalWeb"/>
        <w:rPr>
          <w:sz w:val="22"/>
          <w:szCs w:val="22"/>
        </w:rPr>
      </w:pPr>
      <w:r w:rsidRPr="004D4C57">
        <w:rPr>
          <w:sz w:val="22"/>
          <w:szCs w:val="22"/>
        </w:rPr>
        <w:t xml:space="preserve">(i) </w:t>
      </w:r>
      <w:r w:rsidRPr="004D4C57">
        <w:rPr>
          <w:i/>
          <w:iCs/>
          <w:sz w:val="22"/>
          <w:szCs w:val="22"/>
        </w:rPr>
        <w:t>Criteria for approval of alternative procedures.</w:t>
      </w:r>
      <w:r w:rsidRPr="004D4C57">
        <w:rPr>
          <w:sz w:val="22"/>
          <w:szCs w:val="22"/>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3F210F" w:rsidRPr="004D4C57" w:rsidRDefault="003F210F" w:rsidP="004D4C57">
      <w:pPr>
        <w:pStyle w:val="NormalWeb"/>
        <w:rPr>
          <w:sz w:val="22"/>
          <w:szCs w:val="22"/>
        </w:rPr>
      </w:pPr>
      <w:r w:rsidRPr="004D4C57">
        <w:rPr>
          <w:sz w:val="22"/>
          <w:szCs w:val="22"/>
        </w:rPr>
        <w:t xml:space="preserve">(ii) </w:t>
      </w:r>
      <w:r w:rsidRPr="004D4C57">
        <w:rPr>
          <w:i/>
          <w:iCs/>
          <w:sz w:val="22"/>
          <w:szCs w:val="22"/>
        </w:rPr>
        <w:t>Petition to use alternative to relative accuracy test.</w:t>
      </w:r>
      <w:r w:rsidRPr="004D4C57">
        <w:rPr>
          <w:sz w:val="22"/>
          <w:szCs w:val="22"/>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w:t>
      </w:r>
      <w:r w:rsidRPr="004D4C57">
        <w:rPr>
          <w:sz w:val="22"/>
          <w:szCs w:val="22"/>
        </w:rPr>
        <w:lastRenderedPageBreak/>
        <w:t xml:space="preserve">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3F210F" w:rsidRPr="004D4C57" w:rsidRDefault="003F210F" w:rsidP="004D4C57">
      <w:pPr>
        <w:pStyle w:val="NormalWeb"/>
        <w:rPr>
          <w:sz w:val="22"/>
          <w:szCs w:val="22"/>
        </w:rPr>
      </w:pPr>
      <w:r w:rsidRPr="004D4C57">
        <w:rPr>
          <w:sz w:val="22"/>
          <w:szCs w:val="22"/>
        </w:rPr>
        <w:t xml:space="preserve">(iii) </w:t>
      </w:r>
      <w:r w:rsidRPr="004D4C57">
        <w:rPr>
          <w:i/>
          <w:iCs/>
          <w:sz w:val="22"/>
          <w:szCs w:val="22"/>
        </w:rPr>
        <w:t>Rescission of approval to use alternative to relative accuracy test.</w:t>
      </w:r>
      <w:r w:rsidRPr="004D4C57">
        <w:rPr>
          <w:sz w:val="22"/>
          <w:szCs w:val="22"/>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3F210F" w:rsidRPr="004D4C57" w:rsidRDefault="003F210F" w:rsidP="004D4C57">
      <w:pPr>
        <w:pStyle w:val="NormalWeb"/>
        <w:rPr>
          <w:sz w:val="22"/>
          <w:szCs w:val="22"/>
        </w:rPr>
      </w:pPr>
      <w:r w:rsidRPr="004D4C57">
        <w:rPr>
          <w:sz w:val="22"/>
          <w:szCs w:val="22"/>
        </w:rPr>
        <w:t xml:space="preserve">(g) </w:t>
      </w:r>
      <w:r w:rsidRPr="004D4C57">
        <w:rPr>
          <w:i/>
          <w:iCs/>
          <w:sz w:val="22"/>
          <w:szCs w:val="22"/>
        </w:rPr>
        <w:t>Reduction of monitoring data.</w:t>
      </w:r>
      <w:r w:rsidRPr="004D4C57">
        <w:rPr>
          <w:sz w:val="22"/>
          <w:szCs w:val="22"/>
        </w:rPr>
        <w:t xml:space="preserve"> (1) The owner or operator of each CMS must reduce the monitoring data as specified in paragraphs (g)(1) through (5) of this section. </w:t>
      </w:r>
    </w:p>
    <w:p w:rsidR="003F210F" w:rsidRPr="004D4C57" w:rsidRDefault="003F210F" w:rsidP="004D4C57">
      <w:pPr>
        <w:pStyle w:val="NormalWeb"/>
        <w:rPr>
          <w:sz w:val="22"/>
          <w:szCs w:val="22"/>
        </w:rPr>
      </w:pPr>
      <w:r w:rsidRPr="004D4C57">
        <w:rPr>
          <w:sz w:val="22"/>
          <w:szCs w:val="22"/>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3F210F" w:rsidRPr="004D4C57" w:rsidRDefault="003F210F" w:rsidP="004D4C57">
      <w:pPr>
        <w:pStyle w:val="NormalWeb"/>
        <w:rPr>
          <w:sz w:val="22"/>
          <w:szCs w:val="22"/>
        </w:rPr>
      </w:pPr>
      <w:r w:rsidRPr="004D4C57">
        <w:rPr>
          <w:sz w:val="22"/>
          <w:szCs w:val="22"/>
        </w:rPr>
        <w:t>(3) The data may be recorded in reduced or nonreduced form (e.g., ppm pollutant and percent O</w:t>
      </w:r>
      <w:r w:rsidRPr="004D4C57">
        <w:rPr>
          <w:sz w:val="22"/>
          <w:szCs w:val="22"/>
          <w:vertAlign w:val="subscript"/>
        </w:rPr>
        <w:t>2</w:t>
      </w:r>
      <w:r w:rsidRPr="004D4C57">
        <w:rPr>
          <w:sz w:val="22"/>
          <w:szCs w:val="22"/>
        </w:rPr>
        <w:t xml:space="preserve"> or ng/J of pollutant). </w:t>
      </w:r>
    </w:p>
    <w:p w:rsidR="003F210F" w:rsidRPr="004D4C57" w:rsidRDefault="003F210F" w:rsidP="004D4C57">
      <w:pPr>
        <w:pStyle w:val="NormalWeb"/>
        <w:rPr>
          <w:sz w:val="22"/>
          <w:szCs w:val="22"/>
        </w:rPr>
      </w:pPr>
      <w:r w:rsidRPr="004D4C57">
        <w:rPr>
          <w:sz w:val="22"/>
          <w:szCs w:val="22"/>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3F210F" w:rsidRPr="004D4C57" w:rsidRDefault="003F210F" w:rsidP="004D4C57">
      <w:pPr>
        <w:pStyle w:val="NormalWeb"/>
        <w:rPr>
          <w:sz w:val="22"/>
          <w:szCs w:val="22"/>
        </w:rPr>
      </w:pPr>
      <w:r w:rsidRPr="004D4C57">
        <w:rPr>
          <w:sz w:val="22"/>
          <w:szCs w:val="22"/>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3F210F" w:rsidRPr="004D4C57" w:rsidRDefault="003F210F" w:rsidP="004D4C57">
      <w:pPr>
        <w:pStyle w:val="cita"/>
        <w:rPr>
          <w:sz w:val="22"/>
          <w:szCs w:val="22"/>
        </w:rPr>
      </w:pPr>
      <w:r w:rsidRPr="004D4C57">
        <w:rPr>
          <w:sz w:val="22"/>
          <w:szCs w:val="22"/>
        </w:rPr>
        <w:lastRenderedPageBreak/>
        <w:t>[59 FR 12430, Mar. 16, 1994, as amended at 64 FR 7468, Feb. 12, 1999; 67 FR 16603, Apr. 5, 2002; 71 FR 20455, Apr. 20, 2006; 79 FR 11277, Feb. 27, 2014]</w:t>
      </w:r>
    </w:p>
    <w:p w:rsidR="003F210F" w:rsidRPr="004D4C57" w:rsidRDefault="003F210F" w:rsidP="004D4C57">
      <w:pPr>
        <w:pStyle w:val="Heading2"/>
        <w:rPr>
          <w:rFonts w:ascii="Times New Roman" w:hAnsi="Times New Roman" w:cs="Times New Roman"/>
          <w:sz w:val="22"/>
          <w:szCs w:val="22"/>
        </w:rPr>
      </w:pPr>
      <w:bookmarkStart w:id="15" w:name="se40.11.63_19"/>
      <w:bookmarkEnd w:id="15"/>
      <w:r w:rsidRPr="004D4C57">
        <w:rPr>
          <w:rFonts w:ascii="Times New Roman" w:hAnsi="Times New Roman" w:cs="Times New Roman"/>
          <w:sz w:val="22"/>
          <w:szCs w:val="22"/>
        </w:rPr>
        <w:t>§63.9   Notification requirements.</w:t>
      </w:r>
    </w:p>
    <w:p w:rsidR="003F210F" w:rsidRPr="004D4C57" w:rsidRDefault="003F210F" w:rsidP="004D4C57">
      <w:pPr>
        <w:pStyle w:val="NormalWeb"/>
        <w:rPr>
          <w:sz w:val="22"/>
          <w:szCs w:val="22"/>
        </w:rPr>
      </w:pPr>
      <w:r w:rsidRPr="004D4C57">
        <w:rPr>
          <w:sz w:val="22"/>
          <w:szCs w:val="22"/>
        </w:rPr>
        <w:t xml:space="preserve">(a) </w:t>
      </w:r>
      <w:r w:rsidRPr="004D4C57">
        <w:rPr>
          <w:i/>
          <w:iCs/>
          <w:sz w:val="22"/>
          <w:szCs w:val="22"/>
        </w:rPr>
        <w:t>Applicability and general information.</w:t>
      </w:r>
      <w:r w:rsidRPr="004D4C57">
        <w:rPr>
          <w:sz w:val="22"/>
          <w:szCs w:val="22"/>
        </w:rPr>
        <w:t xml:space="preserve"> (1) The applicability of this section is set out in §63.1(a)(4). </w:t>
      </w:r>
    </w:p>
    <w:p w:rsidR="003F210F" w:rsidRPr="004D4C57" w:rsidRDefault="003F210F" w:rsidP="004D4C57">
      <w:pPr>
        <w:pStyle w:val="NormalWeb"/>
        <w:rPr>
          <w:sz w:val="22"/>
          <w:szCs w:val="22"/>
        </w:rPr>
      </w:pPr>
      <w:r w:rsidRPr="004D4C57">
        <w:rPr>
          <w:sz w:val="22"/>
          <w:szCs w:val="22"/>
        </w:rPr>
        <w:t xml:space="preserve">(2) For affected sources that have been granted an extension of compliance under subpart D of this part, the requirements of this section do not apply to those sources while they are operating under such compliance extensions. </w:t>
      </w:r>
    </w:p>
    <w:p w:rsidR="003F210F" w:rsidRPr="004D4C57" w:rsidRDefault="003F210F" w:rsidP="004D4C57">
      <w:pPr>
        <w:pStyle w:val="NormalWeb"/>
        <w:rPr>
          <w:sz w:val="22"/>
          <w:szCs w:val="22"/>
        </w:rPr>
      </w:pPr>
      <w:r w:rsidRPr="004D4C57">
        <w:rPr>
          <w:sz w:val="22"/>
          <w:szCs w:val="22"/>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3F210F" w:rsidRPr="004D4C57" w:rsidRDefault="003F210F" w:rsidP="004D4C57">
      <w:pPr>
        <w:pStyle w:val="NormalWeb"/>
        <w:rPr>
          <w:sz w:val="22"/>
          <w:szCs w:val="22"/>
        </w:rPr>
      </w:pPr>
      <w:r w:rsidRPr="004D4C57">
        <w:rPr>
          <w:sz w:val="22"/>
          <w:szCs w:val="22"/>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3F210F" w:rsidRPr="004D4C57" w:rsidRDefault="003F210F" w:rsidP="004D4C57">
      <w:pPr>
        <w:pStyle w:val="NormalWeb"/>
        <w:rPr>
          <w:sz w:val="22"/>
          <w:szCs w:val="22"/>
        </w:rPr>
      </w:pPr>
      <w:r w:rsidRPr="004D4C57">
        <w:rPr>
          <w:sz w:val="22"/>
          <w:szCs w:val="22"/>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3F210F" w:rsidRPr="004D4C57" w:rsidRDefault="003F210F" w:rsidP="004D4C57">
      <w:pPr>
        <w:pStyle w:val="NormalWeb"/>
        <w:rPr>
          <w:sz w:val="22"/>
          <w:szCs w:val="22"/>
        </w:rPr>
      </w:pPr>
      <w:r w:rsidRPr="004D4C57">
        <w:rPr>
          <w:sz w:val="22"/>
          <w:szCs w:val="22"/>
        </w:rPr>
        <w:t xml:space="preserve">(b) </w:t>
      </w:r>
      <w:r w:rsidRPr="004D4C57">
        <w:rPr>
          <w:i/>
          <w:iCs/>
          <w:sz w:val="22"/>
          <w:szCs w:val="22"/>
        </w:rPr>
        <w:t>Initial notifications.</w:t>
      </w:r>
      <w:r w:rsidRPr="004D4C57">
        <w:rPr>
          <w:sz w:val="22"/>
          <w:szCs w:val="22"/>
        </w:rPr>
        <w:t xml:space="preserve"> (1)(i) The requirements of this paragraph apply to the owner or operator of an affected source when such source becomes subject to a relevant standard. </w:t>
      </w:r>
    </w:p>
    <w:p w:rsidR="003F210F" w:rsidRPr="004D4C57" w:rsidRDefault="003F210F" w:rsidP="004D4C57">
      <w:pPr>
        <w:pStyle w:val="NormalWeb"/>
        <w:rPr>
          <w:sz w:val="22"/>
          <w:szCs w:val="22"/>
        </w:rPr>
      </w:pPr>
      <w:r w:rsidRPr="004D4C57">
        <w:rPr>
          <w:sz w:val="22"/>
          <w:szCs w:val="22"/>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3F210F" w:rsidRPr="004D4C57" w:rsidRDefault="003F210F" w:rsidP="004D4C57">
      <w:pPr>
        <w:pStyle w:val="NormalWeb"/>
        <w:rPr>
          <w:sz w:val="22"/>
          <w:szCs w:val="22"/>
        </w:rPr>
      </w:pPr>
      <w:r w:rsidRPr="004D4C57">
        <w:rPr>
          <w:sz w:val="22"/>
          <w:szCs w:val="22"/>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3F210F" w:rsidRPr="004D4C57" w:rsidRDefault="003F210F" w:rsidP="004D4C57">
      <w:pPr>
        <w:pStyle w:val="NormalWeb"/>
        <w:rPr>
          <w:sz w:val="22"/>
          <w:szCs w:val="22"/>
        </w:rPr>
      </w:pPr>
      <w:r w:rsidRPr="004D4C57">
        <w:rPr>
          <w:sz w:val="22"/>
          <w:szCs w:val="22"/>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3F210F" w:rsidRPr="004D4C57" w:rsidRDefault="003F210F" w:rsidP="004D4C57">
      <w:pPr>
        <w:pStyle w:val="NormalWeb"/>
        <w:rPr>
          <w:sz w:val="22"/>
          <w:szCs w:val="22"/>
        </w:rPr>
      </w:pPr>
      <w:r w:rsidRPr="004D4C57">
        <w:rPr>
          <w:sz w:val="22"/>
          <w:szCs w:val="22"/>
        </w:rPr>
        <w:t xml:space="preserve">(i) The name and address of the owner or operator; </w:t>
      </w:r>
    </w:p>
    <w:p w:rsidR="003F210F" w:rsidRPr="004D4C57" w:rsidRDefault="003F210F" w:rsidP="004D4C57">
      <w:pPr>
        <w:pStyle w:val="NormalWeb"/>
        <w:rPr>
          <w:sz w:val="22"/>
          <w:szCs w:val="22"/>
        </w:rPr>
      </w:pPr>
      <w:r w:rsidRPr="004D4C57">
        <w:rPr>
          <w:sz w:val="22"/>
          <w:szCs w:val="22"/>
        </w:rPr>
        <w:t xml:space="preserve">(ii) The address (i.e., physical location) of the affected source; </w:t>
      </w:r>
    </w:p>
    <w:p w:rsidR="003F210F" w:rsidRPr="004D4C57" w:rsidRDefault="003F210F" w:rsidP="004D4C57">
      <w:pPr>
        <w:pStyle w:val="NormalWeb"/>
        <w:rPr>
          <w:sz w:val="22"/>
          <w:szCs w:val="22"/>
        </w:rPr>
      </w:pPr>
      <w:r w:rsidRPr="004D4C57">
        <w:rPr>
          <w:sz w:val="22"/>
          <w:szCs w:val="22"/>
        </w:rPr>
        <w:lastRenderedPageBreak/>
        <w:t xml:space="preserve">(iii) An identification of the relevant standard, or other requirement, that is the basis of the notification and the source's compliance date; </w:t>
      </w:r>
    </w:p>
    <w:p w:rsidR="003F210F" w:rsidRPr="004D4C57" w:rsidRDefault="003F210F" w:rsidP="004D4C57">
      <w:pPr>
        <w:pStyle w:val="NormalWeb"/>
        <w:rPr>
          <w:sz w:val="22"/>
          <w:szCs w:val="22"/>
        </w:rPr>
      </w:pPr>
      <w:r w:rsidRPr="004D4C57">
        <w:rPr>
          <w:sz w:val="22"/>
          <w:szCs w:val="22"/>
        </w:rPr>
        <w:t>(iv) A brief description of the nature, size, design, and method of operation of the source and an identification of the types of emission points within the affected source subject to the relevant standard and types of hazardous air pollutants emitted; and</w:t>
      </w:r>
    </w:p>
    <w:p w:rsidR="003F210F" w:rsidRPr="004D4C57" w:rsidRDefault="003F210F" w:rsidP="004D4C57">
      <w:pPr>
        <w:pStyle w:val="NormalWeb"/>
        <w:rPr>
          <w:sz w:val="22"/>
          <w:szCs w:val="22"/>
        </w:rPr>
      </w:pPr>
      <w:r w:rsidRPr="004D4C57">
        <w:rPr>
          <w:sz w:val="22"/>
          <w:szCs w:val="22"/>
        </w:rPr>
        <w:t xml:space="preserve">(v) A statement of whether the affected source is a major source or an area source. </w:t>
      </w:r>
    </w:p>
    <w:p w:rsidR="003F210F" w:rsidRPr="004D4C57" w:rsidRDefault="003F210F" w:rsidP="004D4C57">
      <w:pPr>
        <w:pStyle w:val="NormalWeb"/>
        <w:rPr>
          <w:sz w:val="22"/>
          <w:szCs w:val="22"/>
        </w:rPr>
      </w:pPr>
      <w:r w:rsidRPr="004D4C57">
        <w:rPr>
          <w:sz w:val="22"/>
          <w:szCs w:val="22"/>
        </w:rPr>
        <w:t>(3) [Reserved]</w:t>
      </w:r>
    </w:p>
    <w:p w:rsidR="003F210F" w:rsidRPr="004D4C57" w:rsidRDefault="003F210F" w:rsidP="004D4C57">
      <w:pPr>
        <w:pStyle w:val="NormalWeb"/>
        <w:rPr>
          <w:sz w:val="22"/>
          <w:szCs w:val="22"/>
        </w:rPr>
      </w:pPr>
      <w:r w:rsidRPr="004D4C57">
        <w:rPr>
          <w:sz w:val="22"/>
          <w:szCs w:val="22"/>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3F210F" w:rsidRPr="004D4C57" w:rsidRDefault="003F210F" w:rsidP="004D4C57">
      <w:pPr>
        <w:pStyle w:val="NormalWeb"/>
        <w:rPr>
          <w:sz w:val="22"/>
          <w:szCs w:val="22"/>
        </w:rPr>
      </w:pPr>
      <w:r w:rsidRPr="004D4C57">
        <w:rPr>
          <w:sz w:val="22"/>
          <w:szCs w:val="22"/>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3F210F" w:rsidRPr="004D4C57" w:rsidRDefault="003F210F" w:rsidP="004D4C57">
      <w:pPr>
        <w:pStyle w:val="NormalWeb"/>
        <w:rPr>
          <w:sz w:val="22"/>
          <w:szCs w:val="22"/>
        </w:rPr>
      </w:pPr>
      <w:r w:rsidRPr="004D4C57">
        <w:rPr>
          <w:sz w:val="22"/>
          <w:szCs w:val="22"/>
        </w:rPr>
        <w:t xml:space="preserve">(ii)-(iv) [Reserved] </w:t>
      </w:r>
    </w:p>
    <w:p w:rsidR="003F210F" w:rsidRPr="004D4C57" w:rsidRDefault="003F210F" w:rsidP="004D4C57">
      <w:pPr>
        <w:pStyle w:val="NormalWeb"/>
        <w:rPr>
          <w:sz w:val="22"/>
          <w:szCs w:val="22"/>
        </w:rPr>
      </w:pPr>
      <w:r w:rsidRPr="004D4C57">
        <w:rPr>
          <w:sz w:val="22"/>
          <w:szCs w:val="22"/>
        </w:rPr>
        <w:t xml:space="preserve">(v) A notification of the actual date of startup of the source, delivered or postmarked within 15 calendar days after that date. </w:t>
      </w:r>
    </w:p>
    <w:p w:rsidR="003F210F" w:rsidRPr="004D4C57" w:rsidRDefault="003F210F" w:rsidP="004D4C57">
      <w:pPr>
        <w:pStyle w:val="NormalWeb"/>
        <w:rPr>
          <w:sz w:val="22"/>
          <w:szCs w:val="22"/>
        </w:rPr>
      </w:pPr>
      <w:r w:rsidRPr="004D4C57">
        <w:rPr>
          <w:sz w:val="22"/>
          <w:szCs w:val="22"/>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3F210F" w:rsidRPr="004D4C57" w:rsidRDefault="003F210F" w:rsidP="004D4C57">
      <w:pPr>
        <w:pStyle w:val="NormalWeb"/>
        <w:rPr>
          <w:sz w:val="22"/>
          <w:szCs w:val="22"/>
        </w:rPr>
      </w:pPr>
      <w:r w:rsidRPr="004D4C57">
        <w:rPr>
          <w:sz w:val="22"/>
          <w:szCs w:val="22"/>
        </w:rPr>
        <w:t xml:space="preserve">(i) A notification of intention to construct a new affected source, reconstruct an affected source, or reconstruct a source such that the source becomes an affected source, and </w:t>
      </w:r>
    </w:p>
    <w:p w:rsidR="003F210F" w:rsidRPr="004D4C57" w:rsidRDefault="003F210F" w:rsidP="004D4C57">
      <w:pPr>
        <w:pStyle w:val="NormalWeb"/>
        <w:rPr>
          <w:sz w:val="22"/>
          <w:szCs w:val="22"/>
        </w:rPr>
      </w:pPr>
      <w:r w:rsidRPr="004D4C57">
        <w:rPr>
          <w:sz w:val="22"/>
          <w:szCs w:val="22"/>
        </w:rPr>
        <w:t xml:space="preserve">(ii) A notification of the actual date of startup of the source, delivered or postmarked within 15 calendar days after that date. </w:t>
      </w:r>
    </w:p>
    <w:p w:rsidR="003F210F" w:rsidRPr="004D4C57" w:rsidRDefault="003F210F" w:rsidP="004D4C57">
      <w:pPr>
        <w:pStyle w:val="NormalWeb"/>
        <w:rPr>
          <w:sz w:val="22"/>
          <w:szCs w:val="22"/>
        </w:rPr>
      </w:pPr>
      <w:r w:rsidRPr="004D4C57">
        <w:rPr>
          <w:sz w:val="22"/>
          <w:szCs w:val="22"/>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3F210F" w:rsidRPr="004D4C57" w:rsidRDefault="003F210F" w:rsidP="004D4C57">
      <w:pPr>
        <w:pStyle w:val="NormalWeb"/>
        <w:rPr>
          <w:sz w:val="22"/>
          <w:szCs w:val="22"/>
        </w:rPr>
      </w:pPr>
      <w:r w:rsidRPr="004D4C57">
        <w:rPr>
          <w:sz w:val="22"/>
          <w:szCs w:val="22"/>
        </w:rPr>
        <w:t xml:space="preserve">(c) </w:t>
      </w:r>
      <w:r w:rsidRPr="004D4C57">
        <w:rPr>
          <w:i/>
          <w:iCs/>
          <w:sz w:val="22"/>
          <w:szCs w:val="22"/>
        </w:rPr>
        <w:t>Request for extension of compliance.</w:t>
      </w:r>
      <w:r w:rsidRPr="004D4C57">
        <w:rPr>
          <w:sz w:val="22"/>
          <w:szCs w:val="22"/>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rsidR="003F210F" w:rsidRPr="004D4C57" w:rsidRDefault="003F210F" w:rsidP="004D4C57">
      <w:pPr>
        <w:pStyle w:val="NormalWeb"/>
        <w:rPr>
          <w:sz w:val="22"/>
          <w:szCs w:val="22"/>
        </w:rPr>
      </w:pPr>
      <w:r w:rsidRPr="004D4C57">
        <w:rPr>
          <w:sz w:val="22"/>
          <w:szCs w:val="22"/>
        </w:rPr>
        <w:t xml:space="preserve">(d) </w:t>
      </w:r>
      <w:r w:rsidRPr="004D4C57">
        <w:rPr>
          <w:i/>
          <w:iCs/>
          <w:sz w:val="22"/>
          <w:szCs w:val="22"/>
        </w:rPr>
        <w:t>Notification that source is subject to special compliance requirements.</w:t>
      </w:r>
      <w:r w:rsidRPr="004D4C57">
        <w:rPr>
          <w:sz w:val="22"/>
          <w:szCs w:val="22"/>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3F210F" w:rsidRPr="004D4C57" w:rsidRDefault="003F210F" w:rsidP="004D4C57">
      <w:pPr>
        <w:pStyle w:val="NormalWeb"/>
        <w:rPr>
          <w:sz w:val="22"/>
          <w:szCs w:val="22"/>
        </w:rPr>
      </w:pPr>
      <w:r w:rsidRPr="004D4C57">
        <w:rPr>
          <w:sz w:val="22"/>
          <w:szCs w:val="22"/>
        </w:rPr>
        <w:lastRenderedPageBreak/>
        <w:t xml:space="preserve">(e) </w:t>
      </w:r>
      <w:r w:rsidRPr="004D4C57">
        <w:rPr>
          <w:i/>
          <w:iCs/>
          <w:sz w:val="22"/>
          <w:szCs w:val="22"/>
        </w:rPr>
        <w:t>Notification of performance test.</w:t>
      </w:r>
      <w:r w:rsidRPr="004D4C57">
        <w:rPr>
          <w:sz w:val="22"/>
          <w:szCs w:val="22"/>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3F210F" w:rsidRPr="004D4C57" w:rsidRDefault="003F210F" w:rsidP="004D4C57">
      <w:pPr>
        <w:pStyle w:val="NormalWeb"/>
        <w:rPr>
          <w:sz w:val="22"/>
          <w:szCs w:val="22"/>
        </w:rPr>
      </w:pPr>
      <w:r w:rsidRPr="004D4C57">
        <w:rPr>
          <w:sz w:val="22"/>
          <w:szCs w:val="22"/>
        </w:rPr>
        <w:t xml:space="preserve">(f) </w:t>
      </w:r>
      <w:r w:rsidRPr="004D4C57">
        <w:rPr>
          <w:i/>
          <w:iCs/>
          <w:sz w:val="22"/>
          <w:szCs w:val="22"/>
        </w:rPr>
        <w:t>Notification of opacity and visible emission observations.</w:t>
      </w:r>
      <w:r w:rsidRPr="004D4C57">
        <w:rPr>
          <w:sz w:val="22"/>
          <w:szCs w:val="22"/>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3F210F" w:rsidRPr="004D4C57" w:rsidRDefault="003F210F" w:rsidP="004D4C57">
      <w:pPr>
        <w:pStyle w:val="NormalWeb"/>
        <w:rPr>
          <w:sz w:val="22"/>
          <w:szCs w:val="22"/>
        </w:rPr>
      </w:pPr>
      <w:r w:rsidRPr="004D4C57">
        <w:rPr>
          <w:sz w:val="22"/>
          <w:szCs w:val="22"/>
        </w:rPr>
        <w:t xml:space="preserve">(g) </w:t>
      </w:r>
      <w:r w:rsidRPr="004D4C57">
        <w:rPr>
          <w:i/>
          <w:iCs/>
          <w:sz w:val="22"/>
          <w:szCs w:val="22"/>
        </w:rPr>
        <w:t>Additional notification requirements for sources with continuous monitoring systems.</w:t>
      </w:r>
      <w:r w:rsidRPr="004D4C57">
        <w:rPr>
          <w:sz w:val="22"/>
          <w:szCs w:val="22"/>
        </w:rPr>
        <w:t xml:space="preserve"> The owner or operator of an affected source required to use a CMS by a relevant standard shall furnish the Administrator written notification as follows: </w:t>
      </w:r>
    </w:p>
    <w:p w:rsidR="003F210F" w:rsidRPr="004D4C57" w:rsidRDefault="003F210F" w:rsidP="004D4C57">
      <w:pPr>
        <w:pStyle w:val="NormalWeb"/>
        <w:rPr>
          <w:sz w:val="22"/>
          <w:szCs w:val="22"/>
        </w:rPr>
      </w:pPr>
      <w:r w:rsidRPr="004D4C57">
        <w:rPr>
          <w:sz w:val="22"/>
          <w:szCs w:val="22"/>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3F210F" w:rsidRPr="004D4C57" w:rsidRDefault="003F210F" w:rsidP="004D4C57">
      <w:pPr>
        <w:pStyle w:val="NormalWeb"/>
        <w:rPr>
          <w:sz w:val="22"/>
          <w:szCs w:val="22"/>
        </w:rPr>
      </w:pPr>
      <w:r w:rsidRPr="004D4C57">
        <w:rPr>
          <w:sz w:val="22"/>
          <w:szCs w:val="22"/>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rsidR="003F210F" w:rsidRPr="004D4C57" w:rsidRDefault="003F210F" w:rsidP="004D4C57">
      <w:pPr>
        <w:pStyle w:val="NormalWeb"/>
        <w:rPr>
          <w:sz w:val="22"/>
          <w:szCs w:val="22"/>
        </w:rPr>
      </w:pPr>
      <w:r w:rsidRPr="004D4C57">
        <w:rPr>
          <w:sz w:val="22"/>
          <w:szCs w:val="22"/>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rsidR="003F210F" w:rsidRPr="004D4C57" w:rsidRDefault="003F210F" w:rsidP="004D4C57">
      <w:pPr>
        <w:pStyle w:val="NormalWeb"/>
        <w:rPr>
          <w:sz w:val="22"/>
          <w:szCs w:val="22"/>
        </w:rPr>
      </w:pPr>
      <w:r w:rsidRPr="004D4C57">
        <w:rPr>
          <w:sz w:val="22"/>
          <w:szCs w:val="22"/>
        </w:rPr>
        <w:t xml:space="preserve">(h) </w:t>
      </w:r>
      <w:r w:rsidRPr="004D4C57">
        <w:rPr>
          <w:i/>
          <w:iCs/>
          <w:sz w:val="22"/>
          <w:szCs w:val="22"/>
        </w:rPr>
        <w:t>Notification of compliance status.</w:t>
      </w:r>
      <w:r w:rsidRPr="004D4C57">
        <w:rPr>
          <w:sz w:val="22"/>
          <w:szCs w:val="22"/>
        </w:rPr>
        <w:t xml:space="preserve"> (1) The requirements of paragraphs (h)(2) through (h)(4) of this section apply when an affected source becomes subject to a relevant standard. </w:t>
      </w:r>
    </w:p>
    <w:p w:rsidR="003F210F" w:rsidRPr="004D4C57" w:rsidRDefault="003F210F" w:rsidP="004D4C57">
      <w:pPr>
        <w:pStyle w:val="NormalWeb"/>
        <w:rPr>
          <w:sz w:val="22"/>
          <w:szCs w:val="22"/>
        </w:rPr>
      </w:pPr>
      <w:r w:rsidRPr="004D4C57">
        <w:rPr>
          <w:sz w:val="22"/>
          <w:szCs w:val="22"/>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3F210F" w:rsidRPr="004D4C57" w:rsidRDefault="003F210F" w:rsidP="004D4C57">
      <w:pPr>
        <w:pStyle w:val="NormalWeb"/>
        <w:rPr>
          <w:sz w:val="22"/>
          <w:szCs w:val="22"/>
        </w:rPr>
      </w:pPr>
      <w:r w:rsidRPr="004D4C57">
        <w:rPr>
          <w:sz w:val="22"/>
          <w:szCs w:val="22"/>
        </w:rPr>
        <w:t xml:space="preserve">(A) The methods that were used to determine compliance; </w:t>
      </w:r>
    </w:p>
    <w:p w:rsidR="003F210F" w:rsidRPr="004D4C57" w:rsidRDefault="003F210F" w:rsidP="004D4C57">
      <w:pPr>
        <w:pStyle w:val="NormalWeb"/>
        <w:rPr>
          <w:sz w:val="22"/>
          <w:szCs w:val="22"/>
        </w:rPr>
      </w:pPr>
      <w:r w:rsidRPr="004D4C57">
        <w:rPr>
          <w:sz w:val="22"/>
          <w:szCs w:val="22"/>
        </w:rPr>
        <w:t xml:space="preserve">(B) The results of any performance tests, opacity or visible emission observations, continuous monitoring system (CMS) performance evaluations, and/or other monitoring procedures or methods that were conducted; </w:t>
      </w:r>
    </w:p>
    <w:p w:rsidR="003F210F" w:rsidRPr="004D4C57" w:rsidRDefault="003F210F" w:rsidP="004D4C57">
      <w:pPr>
        <w:pStyle w:val="NormalWeb"/>
        <w:rPr>
          <w:sz w:val="22"/>
          <w:szCs w:val="22"/>
        </w:rPr>
      </w:pPr>
      <w:r w:rsidRPr="004D4C57">
        <w:rPr>
          <w:sz w:val="22"/>
          <w:szCs w:val="22"/>
        </w:rPr>
        <w:lastRenderedPageBreak/>
        <w:t xml:space="preserve">(C) The methods that will be used for determining continuing compliance, including a description of monitoring and reporting requirements and test methods; </w:t>
      </w:r>
    </w:p>
    <w:p w:rsidR="003F210F" w:rsidRPr="004D4C57" w:rsidRDefault="003F210F" w:rsidP="004D4C57">
      <w:pPr>
        <w:pStyle w:val="NormalWeb"/>
        <w:rPr>
          <w:sz w:val="22"/>
          <w:szCs w:val="22"/>
        </w:rPr>
      </w:pPr>
      <w:r w:rsidRPr="004D4C57">
        <w:rPr>
          <w:sz w:val="22"/>
          <w:szCs w:val="22"/>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3F210F" w:rsidRPr="004D4C57" w:rsidRDefault="003F210F" w:rsidP="004D4C57">
      <w:pPr>
        <w:pStyle w:val="NormalWeb"/>
        <w:rPr>
          <w:sz w:val="22"/>
          <w:szCs w:val="22"/>
        </w:rPr>
      </w:pPr>
      <w:r w:rsidRPr="004D4C57">
        <w:rPr>
          <w:sz w:val="22"/>
          <w:szCs w:val="22"/>
        </w:rPr>
        <w:t>(E) If the relevant standard applies to both major and area sources, an analysis demonstrating whether the affected source is a major source (using the emissions data generated for this notification);</w:t>
      </w:r>
    </w:p>
    <w:p w:rsidR="003F210F" w:rsidRPr="004D4C57" w:rsidRDefault="003F210F" w:rsidP="004D4C57">
      <w:pPr>
        <w:pStyle w:val="NormalWeb"/>
        <w:rPr>
          <w:sz w:val="22"/>
          <w:szCs w:val="22"/>
        </w:rPr>
      </w:pPr>
      <w:r w:rsidRPr="004D4C57">
        <w:rPr>
          <w:sz w:val="22"/>
          <w:szCs w:val="22"/>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3F210F" w:rsidRPr="004D4C57" w:rsidRDefault="003F210F" w:rsidP="004D4C57">
      <w:pPr>
        <w:pStyle w:val="NormalWeb"/>
        <w:rPr>
          <w:sz w:val="22"/>
          <w:szCs w:val="22"/>
        </w:rPr>
      </w:pPr>
      <w:r w:rsidRPr="004D4C57">
        <w:rPr>
          <w:sz w:val="22"/>
          <w:szCs w:val="22"/>
        </w:rPr>
        <w:t xml:space="preserve">(G) A statement by the owner or operator of the affected existing, new, or reconstructed source as to whether the source has complied with the relevant standard or other requirements. </w:t>
      </w:r>
    </w:p>
    <w:p w:rsidR="003F210F" w:rsidRPr="004D4C57" w:rsidRDefault="003F210F" w:rsidP="004D4C57">
      <w:pPr>
        <w:pStyle w:val="NormalWeb"/>
        <w:rPr>
          <w:sz w:val="22"/>
          <w:szCs w:val="22"/>
        </w:rPr>
      </w:pPr>
      <w:r w:rsidRPr="004D4C57">
        <w:rPr>
          <w:sz w:val="22"/>
          <w:szCs w:val="22"/>
        </w:rPr>
        <w:t xml:space="preserve">(ii)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w:t>
      </w:r>
      <w:proofErr w:type="gramStart"/>
      <w:r w:rsidRPr="004D4C57">
        <w:rPr>
          <w:sz w:val="22"/>
          <w:szCs w:val="22"/>
        </w:rPr>
        <w:t>as long as</w:t>
      </w:r>
      <w:proofErr w:type="gramEnd"/>
      <w:r w:rsidRPr="004D4C57">
        <w:rPr>
          <w:sz w:val="22"/>
          <w:szCs w:val="22"/>
        </w:rPr>
        <w:t xml:space="preserve"> the due date requirement for each notification is met.</w:t>
      </w:r>
    </w:p>
    <w:p w:rsidR="003F210F" w:rsidRPr="004D4C57" w:rsidRDefault="003F210F" w:rsidP="004D4C57">
      <w:pPr>
        <w:pStyle w:val="NormalWeb"/>
        <w:rPr>
          <w:sz w:val="22"/>
          <w:szCs w:val="22"/>
        </w:rPr>
      </w:pPr>
      <w:r w:rsidRPr="004D4C57">
        <w:rPr>
          <w:sz w:val="22"/>
          <w:szCs w:val="22"/>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3F210F" w:rsidRPr="004D4C57" w:rsidRDefault="003F210F" w:rsidP="004D4C57">
      <w:pPr>
        <w:pStyle w:val="NormalWeb"/>
        <w:rPr>
          <w:sz w:val="22"/>
          <w:szCs w:val="22"/>
        </w:rPr>
      </w:pPr>
      <w:r w:rsidRPr="004D4C57">
        <w:rPr>
          <w:sz w:val="22"/>
          <w:szCs w:val="22"/>
        </w:rPr>
        <w:t xml:space="preserve">(4) [Reserved] </w:t>
      </w:r>
    </w:p>
    <w:p w:rsidR="003F210F" w:rsidRPr="004D4C57" w:rsidRDefault="003F210F" w:rsidP="004D4C57">
      <w:pPr>
        <w:pStyle w:val="NormalWeb"/>
        <w:rPr>
          <w:sz w:val="22"/>
          <w:szCs w:val="22"/>
        </w:rPr>
      </w:pPr>
      <w:r w:rsidRPr="004D4C57">
        <w:rPr>
          <w:sz w:val="22"/>
          <w:szCs w:val="22"/>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3F210F" w:rsidRPr="004D4C57" w:rsidRDefault="003F210F" w:rsidP="004D4C57">
      <w:pPr>
        <w:pStyle w:val="NormalWeb"/>
        <w:rPr>
          <w:sz w:val="22"/>
          <w:szCs w:val="22"/>
        </w:rPr>
      </w:pPr>
      <w:r w:rsidRPr="004D4C57">
        <w:rPr>
          <w:sz w:val="22"/>
          <w:szCs w:val="22"/>
        </w:rPr>
        <w:t xml:space="preserve">(6) Advice on a notification of compliance status may be obtained from the Administrator. </w:t>
      </w:r>
    </w:p>
    <w:p w:rsidR="003F210F" w:rsidRPr="004D4C57" w:rsidRDefault="003F210F" w:rsidP="004D4C57">
      <w:pPr>
        <w:pStyle w:val="NormalWeb"/>
        <w:rPr>
          <w:sz w:val="22"/>
          <w:szCs w:val="22"/>
        </w:rPr>
      </w:pPr>
      <w:r w:rsidRPr="004D4C57">
        <w:rPr>
          <w:sz w:val="22"/>
          <w:szCs w:val="22"/>
        </w:rPr>
        <w:t xml:space="preserve">(i) </w:t>
      </w:r>
      <w:r w:rsidRPr="004D4C57">
        <w:rPr>
          <w:i/>
          <w:iCs/>
          <w:sz w:val="22"/>
          <w:szCs w:val="22"/>
        </w:rPr>
        <w:t>Adjustment to time periods or postmark deadlines for submittal and review of required communications.</w:t>
      </w:r>
      <w:r w:rsidRPr="004D4C57">
        <w:rPr>
          <w:sz w:val="22"/>
          <w:szCs w:val="22"/>
        </w:rPr>
        <w:t xml:space="preserve"> (1)(i) Until an adjustment of </w:t>
      </w:r>
      <w:proofErr w:type="gramStart"/>
      <w:r w:rsidRPr="004D4C57">
        <w:rPr>
          <w:sz w:val="22"/>
          <w:szCs w:val="22"/>
        </w:rPr>
        <w:t>a time period</w:t>
      </w:r>
      <w:proofErr w:type="gramEnd"/>
      <w:r w:rsidRPr="004D4C57">
        <w:rPr>
          <w:sz w:val="22"/>
          <w:szCs w:val="22"/>
        </w:rPr>
        <w:t xml:space="preserve"> or postmark deadline has been approved by the Administrator under </w:t>
      </w:r>
      <w:r w:rsidRPr="004D4C57">
        <w:rPr>
          <w:sz w:val="22"/>
          <w:szCs w:val="22"/>
        </w:rPr>
        <w:lastRenderedPageBreak/>
        <w:t xml:space="preserve">paragraphs (i)(2) and (i)(3) of this section, the owner or operator of an affected source remains strictly subject to the requirements of this part. </w:t>
      </w:r>
    </w:p>
    <w:p w:rsidR="003F210F" w:rsidRPr="004D4C57" w:rsidRDefault="003F210F" w:rsidP="004D4C57">
      <w:pPr>
        <w:pStyle w:val="NormalWeb"/>
        <w:rPr>
          <w:sz w:val="22"/>
          <w:szCs w:val="22"/>
        </w:rPr>
      </w:pPr>
      <w:r w:rsidRPr="004D4C57">
        <w:rPr>
          <w:sz w:val="22"/>
          <w:szCs w:val="22"/>
        </w:rPr>
        <w:t xml:space="preserve">(ii) An owner or operator shall request the adjustment provided for in paragraphs (i)(2) and (i)(3) of this section each time he or she wishes to change an applicable </w:t>
      </w:r>
      <w:proofErr w:type="gramStart"/>
      <w:r w:rsidRPr="004D4C57">
        <w:rPr>
          <w:sz w:val="22"/>
          <w:szCs w:val="22"/>
        </w:rPr>
        <w:t>time period</w:t>
      </w:r>
      <w:proofErr w:type="gramEnd"/>
      <w:r w:rsidRPr="004D4C57">
        <w:rPr>
          <w:sz w:val="22"/>
          <w:szCs w:val="22"/>
        </w:rPr>
        <w:t xml:space="preserve"> or postmark deadline specified in this part. </w:t>
      </w:r>
    </w:p>
    <w:p w:rsidR="003F210F" w:rsidRPr="004D4C57" w:rsidRDefault="003F210F" w:rsidP="004D4C57">
      <w:pPr>
        <w:pStyle w:val="NormalWeb"/>
        <w:rPr>
          <w:sz w:val="22"/>
          <w:szCs w:val="22"/>
        </w:rPr>
      </w:pPr>
      <w:r w:rsidRPr="004D4C57">
        <w:rPr>
          <w:sz w:val="22"/>
          <w:szCs w:val="22"/>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w:t>
      </w:r>
      <w:proofErr w:type="gramStart"/>
      <w:r w:rsidRPr="004D4C57">
        <w:rPr>
          <w:sz w:val="22"/>
          <w:szCs w:val="22"/>
        </w:rPr>
        <w:t>mutual agreement</w:t>
      </w:r>
      <w:proofErr w:type="gramEnd"/>
      <w:r w:rsidRPr="004D4C57">
        <w:rPr>
          <w:sz w:val="22"/>
          <w:szCs w:val="22"/>
        </w:rPr>
        <w:t xml:space="preserve"> between the owner or operator and the Administrator. An owner or operator who wishes to request a change in </w:t>
      </w:r>
      <w:proofErr w:type="gramStart"/>
      <w:r w:rsidRPr="004D4C57">
        <w:rPr>
          <w:sz w:val="22"/>
          <w:szCs w:val="22"/>
        </w:rPr>
        <w:t>a time period</w:t>
      </w:r>
      <w:proofErr w:type="gramEnd"/>
      <w:r w:rsidRPr="004D4C57">
        <w:rPr>
          <w:sz w:val="22"/>
          <w:szCs w:val="22"/>
        </w:rPr>
        <w:t xml:space="preserve">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3F210F" w:rsidRPr="004D4C57" w:rsidRDefault="003F210F" w:rsidP="004D4C57">
      <w:pPr>
        <w:pStyle w:val="NormalWeb"/>
        <w:rPr>
          <w:sz w:val="22"/>
          <w:szCs w:val="22"/>
        </w:rPr>
      </w:pPr>
      <w:r w:rsidRPr="004D4C57">
        <w:rPr>
          <w:sz w:val="22"/>
          <w:szCs w:val="22"/>
        </w:rPr>
        <w:t xml:space="preserve">(3) If, in the Administrator's judgment, an owner or operator's request for an adjustment to a particular </w:t>
      </w:r>
      <w:proofErr w:type="gramStart"/>
      <w:r w:rsidRPr="004D4C57">
        <w:rPr>
          <w:sz w:val="22"/>
          <w:szCs w:val="22"/>
        </w:rPr>
        <w:t>time period</w:t>
      </w:r>
      <w:proofErr w:type="gramEnd"/>
      <w:r w:rsidRPr="004D4C57">
        <w:rPr>
          <w:sz w:val="22"/>
          <w:szCs w:val="22"/>
        </w:rPr>
        <w:t xml:space="preserve">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3F210F" w:rsidRPr="004D4C57" w:rsidRDefault="003F210F" w:rsidP="004D4C57">
      <w:pPr>
        <w:pStyle w:val="NormalWeb"/>
        <w:rPr>
          <w:sz w:val="22"/>
          <w:szCs w:val="22"/>
        </w:rPr>
      </w:pPr>
      <w:r w:rsidRPr="004D4C57">
        <w:rPr>
          <w:sz w:val="22"/>
          <w:szCs w:val="22"/>
        </w:rPr>
        <w:t xml:space="preserve">(4) If the Administrator is unable to meet a specified deadline, he or she will notify the owner or operator of any significant delay and inform the owner or operator of the amended schedule. </w:t>
      </w:r>
    </w:p>
    <w:p w:rsidR="003F210F" w:rsidRPr="004D4C57" w:rsidRDefault="003F210F" w:rsidP="004D4C57">
      <w:pPr>
        <w:pStyle w:val="NormalWeb"/>
        <w:rPr>
          <w:sz w:val="22"/>
          <w:szCs w:val="22"/>
        </w:rPr>
      </w:pPr>
      <w:r w:rsidRPr="004D4C57">
        <w:rPr>
          <w:sz w:val="22"/>
          <w:szCs w:val="22"/>
        </w:rPr>
        <w:t xml:space="preserve">(j) </w:t>
      </w:r>
      <w:r w:rsidRPr="004D4C57">
        <w:rPr>
          <w:i/>
          <w:iCs/>
          <w:sz w:val="22"/>
          <w:szCs w:val="22"/>
        </w:rPr>
        <w:t>Change in information already provided.</w:t>
      </w:r>
      <w:r w:rsidRPr="004D4C57">
        <w:rPr>
          <w:sz w:val="22"/>
          <w:szCs w:val="22"/>
        </w:rPr>
        <w:t xml:space="preserve"> Any change in the information already provided under this section shall be provided to the Administrator in writing within 15 calendar days after the change. </w:t>
      </w:r>
    </w:p>
    <w:p w:rsidR="003F210F" w:rsidRPr="004D4C57" w:rsidRDefault="003F210F" w:rsidP="004D4C57">
      <w:pPr>
        <w:pStyle w:val="cita"/>
        <w:rPr>
          <w:sz w:val="22"/>
          <w:szCs w:val="22"/>
        </w:rPr>
      </w:pPr>
      <w:r w:rsidRPr="004D4C57">
        <w:rPr>
          <w:sz w:val="22"/>
          <w:szCs w:val="22"/>
        </w:rPr>
        <w:t>[59 FR 12430, Mar. 16, 1994, as amended at 64 FR 7468, Feb. 12, 1999; 67 FR 16604, Apr. 5, 2002; 68 FR 32601, May 30, 2003]</w:t>
      </w:r>
    </w:p>
    <w:p w:rsidR="003F210F" w:rsidRPr="004D4C57" w:rsidRDefault="003F210F" w:rsidP="004D4C57">
      <w:pPr>
        <w:pStyle w:val="Heading2"/>
        <w:rPr>
          <w:rFonts w:ascii="Times New Roman" w:hAnsi="Times New Roman" w:cs="Times New Roman"/>
          <w:sz w:val="22"/>
          <w:szCs w:val="22"/>
        </w:rPr>
      </w:pPr>
      <w:bookmarkStart w:id="16" w:name="se40.11.63_110"/>
      <w:bookmarkEnd w:id="16"/>
      <w:r w:rsidRPr="004D4C57">
        <w:rPr>
          <w:rFonts w:ascii="Times New Roman" w:hAnsi="Times New Roman" w:cs="Times New Roman"/>
          <w:sz w:val="22"/>
          <w:szCs w:val="22"/>
        </w:rPr>
        <w:t>§63.10   Recordkeeping and reporting requirements.</w:t>
      </w:r>
    </w:p>
    <w:p w:rsidR="003F210F" w:rsidRPr="004D4C57" w:rsidRDefault="003F210F" w:rsidP="004D4C57">
      <w:pPr>
        <w:pStyle w:val="NormalWeb"/>
        <w:rPr>
          <w:sz w:val="22"/>
          <w:szCs w:val="22"/>
        </w:rPr>
      </w:pPr>
      <w:r w:rsidRPr="004D4C57">
        <w:rPr>
          <w:sz w:val="22"/>
          <w:szCs w:val="22"/>
        </w:rPr>
        <w:t xml:space="preserve">(a) </w:t>
      </w:r>
      <w:r w:rsidRPr="004D4C57">
        <w:rPr>
          <w:i/>
          <w:iCs/>
          <w:sz w:val="22"/>
          <w:szCs w:val="22"/>
        </w:rPr>
        <w:t>Applicability and general information.</w:t>
      </w:r>
      <w:r w:rsidRPr="004D4C57">
        <w:rPr>
          <w:sz w:val="22"/>
          <w:szCs w:val="22"/>
        </w:rPr>
        <w:t xml:space="preserve"> (1) The applicability of this section is set out in §63.1(a)(4). </w:t>
      </w:r>
    </w:p>
    <w:p w:rsidR="003F210F" w:rsidRPr="004D4C57" w:rsidRDefault="003F210F" w:rsidP="004D4C57">
      <w:pPr>
        <w:pStyle w:val="NormalWeb"/>
        <w:rPr>
          <w:sz w:val="22"/>
          <w:szCs w:val="22"/>
        </w:rPr>
      </w:pPr>
      <w:r w:rsidRPr="004D4C57">
        <w:rPr>
          <w:sz w:val="22"/>
          <w:szCs w:val="22"/>
        </w:rPr>
        <w:t xml:space="preserve">(2) For affected sources that have been granted an extension of compliance under subpart D of this part, the requirements of this section do not apply to those sources while they are operating under such compliance extensions. </w:t>
      </w:r>
    </w:p>
    <w:p w:rsidR="003F210F" w:rsidRPr="004D4C57" w:rsidRDefault="003F210F" w:rsidP="004D4C57">
      <w:pPr>
        <w:pStyle w:val="NormalWeb"/>
        <w:rPr>
          <w:sz w:val="22"/>
          <w:szCs w:val="22"/>
        </w:rPr>
      </w:pPr>
      <w:r w:rsidRPr="004D4C57">
        <w:rPr>
          <w:sz w:val="22"/>
          <w:szCs w:val="22"/>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3F210F" w:rsidRPr="004D4C57" w:rsidRDefault="003F210F" w:rsidP="004D4C57">
      <w:pPr>
        <w:pStyle w:val="NormalWeb"/>
        <w:rPr>
          <w:sz w:val="22"/>
          <w:szCs w:val="22"/>
        </w:rPr>
      </w:pPr>
      <w:r w:rsidRPr="004D4C57">
        <w:rPr>
          <w:sz w:val="22"/>
          <w:szCs w:val="22"/>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3F210F" w:rsidRPr="004D4C57" w:rsidRDefault="003F210F" w:rsidP="004D4C57">
      <w:pPr>
        <w:pStyle w:val="NormalWeb"/>
        <w:rPr>
          <w:sz w:val="22"/>
          <w:szCs w:val="22"/>
        </w:rPr>
      </w:pPr>
      <w:r w:rsidRPr="004D4C57">
        <w:rPr>
          <w:sz w:val="22"/>
          <w:szCs w:val="22"/>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w:t>
      </w:r>
      <w:r w:rsidRPr="004D4C57">
        <w:rPr>
          <w:sz w:val="22"/>
          <w:szCs w:val="22"/>
        </w:rPr>
        <w:lastRenderedPageBreak/>
        <w:t xml:space="preserve">of each report submitted to the State to the appropriate Regional Office of the EPA, as specified in paragraph (a)(4)(i) of this section. The Regional Office may waive this requirement for any reports at its discretion. </w:t>
      </w:r>
    </w:p>
    <w:p w:rsidR="003F210F" w:rsidRPr="004D4C57" w:rsidRDefault="003F210F" w:rsidP="004D4C57">
      <w:pPr>
        <w:pStyle w:val="NormalWeb"/>
        <w:rPr>
          <w:sz w:val="22"/>
          <w:szCs w:val="22"/>
        </w:rPr>
      </w:pPr>
      <w:r w:rsidRPr="004D4C57">
        <w:rPr>
          <w:sz w:val="22"/>
          <w:szCs w:val="22"/>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rsidR="003F210F" w:rsidRPr="004D4C57" w:rsidRDefault="003F210F" w:rsidP="004D4C57">
      <w:pPr>
        <w:pStyle w:val="NormalWeb"/>
        <w:rPr>
          <w:sz w:val="22"/>
          <w:szCs w:val="22"/>
        </w:rPr>
      </w:pPr>
      <w:r w:rsidRPr="004D4C57">
        <w:rPr>
          <w:sz w:val="22"/>
          <w:szCs w:val="22"/>
        </w:rPr>
        <w:t xml:space="preserve">(6) If an owner or operator supervises one or more stationary sources affected by more than one standard established pursuant to section 112 of the Act, he/she may arrange by </w:t>
      </w:r>
      <w:proofErr w:type="gramStart"/>
      <w:r w:rsidRPr="004D4C57">
        <w:rPr>
          <w:sz w:val="22"/>
          <w:szCs w:val="22"/>
        </w:rPr>
        <w:t>mutual agreement</w:t>
      </w:r>
      <w:proofErr w:type="gramEnd"/>
      <w:r w:rsidRPr="004D4C57">
        <w:rPr>
          <w:sz w:val="22"/>
          <w:szCs w:val="22"/>
        </w:rPr>
        <w:t xml:space="preserve">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3F210F" w:rsidRPr="004D4C57" w:rsidRDefault="003F210F" w:rsidP="004D4C57">
      <w:pPr>
        <w:pStyle w:val="NormalWeb"/>
        <w:rPr>
          <w:sz w:val="22"/>
          <w:szCs w:val="22"/>
        </w:rPr>
      </w:pPr>
      <w:r w:rsidRPr="004D4C57">
        <w:rPr>
          <w:sz w:val="22"/>
          <w:szCs w:val="22"/>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w:t>
      </w:r>
      <w:proofErr w:type="gramStart"/>
      <w:r w:rsidRPr="004D4C57">
        <w:rPr>
          <w:sz w:val="22"/>
          <w:szCs w:val="22"/>
        </w:rPr>
        <w:t>standard</w:t>
      </w:r>
      <w:proofErr w:type="gramEnd"/>
      <w:r w:rsidRPr="004D4C57">
        <w:rPr>
          <w:sz w:val="22"/>
          <w:szCs w:val="22"/>
        </w:rPr>
        <w:t xml:space="preserve">, whichever is latest. Procedures governing the implementation of this provision are specified in §63.9(i). </w:t>
      </w:r>
    </w:p>
    <w:p w:rsidR="003F210F" w:rsidRPr="004D4C57" w:rsidRDefault="003F210F" w:rsidP="004D4C57">
      <w:pPr>
        <w:pStyle w:val="NormalWeb"/>
        <w:rPr>
          <w:sz w:val="22"/>
          <w:szCs w:val="22"/>
        </w:rPr>
      </w:pPr>
      <w:r w:rsidRPr="004D4C57">
        <w:rPr>
          <w:sz w:val="22"/>
          <w:szCs w:val="22"/>
        </w:rPr>
        <w:t xml:space="preserve">(b) </w:t>
      </w:r>
      <w:r w:rsidRPr="004D4C57">
        <w:rPr>
          <w:i/>
          <w:iCs/>
          <w:sz w:val="22"/>
          <w:szCs w:val="22"/>
        </w:rPr>
        <w:t>General recordkeeping requirements.</w:t>
      </w:r>
      <w:r w:rsidRPr="004D4C57">
        <w:rPr>
          <w:sz w:val="22"/>
          <w:szCs w:val="22"/>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3F210F" w:rsidRPr="004D4C57" w:rsidRDefault="003F210F" w:rsidP="004D4C57">
      <w:pPr>
        <w:pStyle w:val="NormalWeb"/>
        <w:rPr>
          <w:sz w:val="22"/>
          <w:szCs w:val="22"/>
        </w:rPr>
      </w:pPr>
      <w:r w:rsidRPr="004D4C57">
        <w:rPr>
          <w:sz w:val="22"/>
          <w:szCs w:val="22"/>
        </w:rPr>
        <w:t>(2) The owner or operator of an affected source subject to the provisions of this part shall maintain relevant records for such source of—</w:t>
      </w:r>
    </w:p>
    <w:p w:rsidR="003F210F" w:rsidRPr="004D4C57" w:rsidRDefault="003F210F" w:rsidP="004D4C57">
      <w:pPr>
        <w:pStyle w:val="NormalWeb"/>
        <w:rPr>
          <w:sz w:val="22"/>
          <w:szCs w:val="22"/>
        </w:rPr>
      </w:pPr>
      <w:r w:rsidRPr="004D4C57">
        <w:rPr>
          <w:sz w:val="22"/>
          <w:szCs w:val="22"/>
        </w:rPr>
        <w:t>(i) The occurrence and duration of each startup or shutdown when the startup or shutdown causes the source to exceed any applicable emission limitation in the relevant emission standards;</w:t>
      </w:r>
    </w:p>
    <w:p w:rsidR="003F210F" w:rsidRPr="004D4C57" w:rsidRDefault="003F210F" w:rsidP="004D4C57">
      <w:pPr>
        <w:pStyle w:val="NormalWeb"/>
        <w:rPr>
          <w:sz w:val="22"/>
          <w:szCs w:val="22"/>
        </w:rPr>
      </w:pPr>
      <w:r w:rsidRPr="004D4C57">
        <w:rPr>
          <w:sz w:val="22"/>
          <w:szCs w:val="22"/>
        </w:rPr>
        <w:t xml:space="preserve">(ii) The occurrence and duration of each malfunction of operation (i.e., process equipment) or the required air pollution control and monitoring equipment; </w:t>
      </w:r>
    </w:p>
    <w:p w:rsidR="003F210F" w:rsidRPr="004D4C57" w:rsidRDefault="003F210F" w:rsidP="004D4C57">
      <w:pPr>
        <w:pStyle w:val="NormalWeb"/>
        <w:rPr>
          <w:sz w:val="22"/>
          <w:szCs w:val="22"/>
        </w:rPr>
      </w:pPr>
      <w:r w:rsidRPr="004D4C57">
        <w:rPr>
          <w:sz w:val="22"/>
          <w:szCs w:val="22"/>
        </w:rPr>
        <w:t xml:space="preserve">(iii) All required maintenance performed on the air pollution control and monitoring equipment; </w:t>
      </w:r>
    </w:p>
    <w:p w:rsidR="003F210F" w:rsidRPr="004D4C57" w:rsidRDefault="003F210F" w:rsidP="004D4C57">
      <w:pPr>
        <w:pStyle w:val="NormalWeb"/>
        <w:rPr>
          <w:sz w:val="22"/>
          <w:szCs w:val="22"/>
        </w:rPr>
      </w:pPr>
      <w:r w:rsidRPr="004D4C57">
        <w:rPr>
          <w:sz w:val="22"/>
          <w:szCs w:val="22"/>
        </w:rPr>
        <w:lastRenderedPageBreak/>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3F210F" w:rsidRPr="004D4C57" w:rsidRDefault="003F210F" w:rsidP="004D4C57">
      <w:pPr>
        <w:pStyle w:val="NormalWeb"/>
        <w:rPr>
          <w:sz w:val="22"/>
          <w:szCs w:val="22"/>
        </w:rPr>
      </w:pPr>
      <w:r w:rsidRPr="004D4C57">
        <w:rPr>
          <w:sz w:val="22"/>
          <w:szCs w:val="22"/>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3F210F" w:rsidRPr="004D4C57" w:rsidRDefault="003F210F" w:rsidP="004D4C57">
      <w:pPr>
        <w:pStyle w:val="NormalWeb"/>
        <w:rPr>
          <w:sz w:val="22"/>
          <w:szCs w:val="22"/>
        </w:rPr>
      </w:pPr>
      <w:r w:rsidRPr="004D4C57">
        <w:rPr>
          <w:sz w:val="22"/>
          <w:szCs w:val="22"/>
        </w:rPr>
        <w:t xml:space="preserve">(v)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w:t>
      </w:r>
      <w:proofErr w:type="gramStart"/>
      <w:r w:rsidRPr="004D4C57">
        <w:rPr>
          <w:sz w:val="22"/>
          <w:szCs w:val="22"/>
        </w:rPr>
        <w:t>in order to</w:t>
      </w:r>
      <w:proofErr w:type="gramEnd"/>
      <w:r w:rsidRPr="004D4C57">
        <w:rPr>
          <w:sz w:val="22"/>
          <w:szCs w:val="22"/>
        </w:rPr>
        <w:t xml:space="preserve"> minimize the recordkeeping burden for conforming events);</w:t>
      </w:r>
    </w:p>
    <w:p w:rsidR="003F210F" w:rsidRPr="004D4C57" w:rsidRDefault="003F210F" w:rsidP="004D4C57">
      <w:pPr>
        <w:pStyle w:val="NormalWeb"/>
        <w:rPr>
          <w:sz w:val="22"/>
          <w:szCs w:val="22"/>
        </w:rPr>
      </w:pPr>
      <w:r w:rsidRPr="004D4C57">
        <w:rPr>
          <w:sz w:val="22"/>
          <w:szCs w:val="22"/>
        </w:rPr>
        <w:t xml:space="preserve">(vi) Each period during which a CMS is malfunctioning or inoperative (including out-of-control periods); </w:t>
      </w:r>
    </w:p>
    <w:p w:rsidR="003F210F" w:rsidRPr="004D4C57" w:rsidRDefault="003F210F" w:rsidP="004D4C57">
      <w:pPr>
        <w:pStyle w:val="NormalWeb"/>
        <w:rPr>
          <w:sz w:val="22"/>
          <w:szCs w:val="22"/>
        </w:rPr>
      </w:pPr>
      <w:r w:rsidRPr="004D4C57">
        <w:rPr>
          <w:sz w:val="22"/>
          <w:szCs w:val="22"/>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3F210F" w:rsidRPr="004D4C57" w:rsidRDefault="003F210F" w:rsidP="004D4C57">
      <w:pPr>
        <w:pStyle w:val="NormalWeb"/>
        <w:rPr>
          <w:sz w:val="22"/>
          <w:szCs w:val="22"/>
        </w:rPr>
      </w:pPr>
      <w:r w:rsidRPr="004D4C57">
        <w:rPr>
          <w:sz w:val="22"/>
          <w:szCs w:val="22"/>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w:t>
      </w:r>
      <w:proofErr w:type="gramStart"/>
      <w:r w:rsidRPr="004D4C57">
        <w:rPr>
          <w:sz w:val="22"/>
          <w:szCs w:val="22"/>
        </w:rPr>
        <w:t>through the use of</w:t>
      </w:r>
      <w:proofErr w:type="gramEnd"/>
      <w:r w:rsidRPr="004D4C57">
        <w:rPr>
          <w:sz w:val="22"/>
          <w:szCs w:val="22"/>
        </w:rPr>
        <w:t xml:space="preserve">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3F210F" w:rsidRPr="004D4C57" w:rsidRDefault="003F210F" w:rsidP="004D4C57">
      <w:pPr>
        <w:pStyle w:val="NormalWeb"/>
        <w:rPr>
          <w:sz w:val="22"/>
          <w:szCs w:val="22"/>
        </w:rPr>
      </w:pPr>
      <w:r w:rsidRPr="004D4C57">
        <w:rPr>
          <w:sz w:val="22"/>
          <w:szCs w:val="22"/>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3F210F" w:rsidRPr="004D4C57" w:rsidRDefault="003F210F" w:rsidP="004D4C57">
      <w:pPr>
        <w:pStyle w:val="NormalWeb"/>
        <w:rPr>
          <w:sz w:val="22"/>
          <w:szCs w:val="22"/>
        </w:rPr>
      </w:pPr>
      <w:r w:rsidRPr="004D4C57">
        <w:rPr>
          <w:sz w:val="22"/>
          <w:szCs w:val="22"/>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3F210F" w:rsidRPr="004D4C57" w:rsidRDefault="003F210F" w:rsidP="004D4C57">
      <w:pPr>
        <w:pStyle w:val="NormalWeb"/>
        <w:rPr>
          <w:sz w:val="22"/>
          <w:szCs w:val="22"/>
        </w:rPr>
      </w:pPr>
      <w:r w:rsidRPr="004D4C57">
        <w:rPr>
          <w:sz w:val="22"/>
          <w:szCs w:val="22"/>
        </w:rPr>
        <w:t xml:space="preserve">(viii) All results of performance tests, CMS performance evaluations, and opacity and visible emission observations; </w:t>
      </w:r>
    </w:p>
    <w:p w:rsidR="003F210F" w:rsidRPr="004D4C57" w:rsidRDefault="003F210F" w:rsidP="004D4C57">
      <w:pPr>
        <w:pStyle w:val="NormalWeb"/>
        <w:rPr>
          <w:sz w:val="22"/>
          <w:szCs w:val="22"/>
        </w:rPr>
      </w:pPr>
      <w:r w:rsidRPr="004D4C57">
        <w:rPr>
          <w:sz w:val="22"/>
          <w:szCs w:val="22"/>
        </w:rPr>
        <w:lastRenderedPageBreak/>
        <w:t xml:space="preserve">(ix) All measurements as may be necessary to determine the conditions of performance tests and performance evaluations; </w:t>
      </w:r>
    </w:p>
    <w:p w:rsidR="003F210F" w:rsidRPr="004D4C57" w:rsidRDefault="003F210F" w:rsidP="004D4C57">
      <w:pPr>
        <w:pStyle w:val="NormalWeb"/>
        <w:rPr>
          <w:sz w:val="22"/>
          <w:szCs w:val="22"/>
        </w:rPr>
      </w:pPr>
      <w:r w:rsidRPr="004D4C57">
        <w:rPr>
          <w:sz w:val="22"/>
          <w:szCs w:val="22"/>
        </w:rPr>
        <w:t xml:space="preserve">(x) All CMS calibration checks; </w:t>
      </w:r>
    </w:p>
    <w:p w:rsidR="003F210F" w:rsidRPr="004D4C57" w:rsidRDefault="003F210F" w:rsidP="004D4C57">
      <w:pPr>
        <w:pStyle w:val="NormalWeb"/>
        <w:rPr>
          <w:sz w:val="22"/>
          <w:szCs w:val="22"/>
        </w:rPr>
      </w:pPr>
      <w:r w:rsidRPr="004D4C57">
        <w:rPr>
          <w:sz w:val="22"/>
          <w:szCs w:val="22"/>
        </w:rPr>
        <w:t xml:space="preserve">(xi) All adjustments and maintenance performed on CMS; </w:t>
      </w:r>
    </w:p>
    <w:p w:rsidR="003F210F" w:rsidRPr="004D4C57" w:rsidRDefault="003F210F" w:rsidP="004D4C57">
      <w:pPr>
        <w:pStyle w:val="NormalWeb"/>
        <w:rPr>
          <w:sz w:val="22"/>
          <w:szCs w:val="22"/>
        </w:rPr>
      </w:pPr>
      <w:r w:rsidRPr="004D4C57">
        <w:rPr>
          <w:sz w:val="22"/>
          <w:szCs w:val="22"/>
        </w:rPr>
        <w:t xml:space="preserve">(xii) Any information demonstrating whether a source is meeting the requirements for a waiver of recordkeeping or reporting requirements under this part, if the source has been granted a waiver under paragraph (f) of this section; </w:t>
      </w:r>
    </w:p>
    <w:p w:rsidR="003F210F" w:rsidRPr="004D4C57" w:rsidRDefault="003F210F" w:rsidP="004D4C57">
      <w:pPr>
        <w:pStyle w:val="NormalWeb"/>
        <w:rPr>
          <w:sz w:val="22"/>
          <w:szCs w:val="22"/>
        </w:rPr>
      </w:pPr>
      <w:r w:rsidRPr="004D4C57">
        <w:rPr>
          <w:sz w:val="22"/>
          <w:szCs w:val="22"/>
        </w:rPr>
        <w:t xml:space="preserve">(xiii) All emission levels relative to the criterion for obtaining permission to use an alternative to the relative accuracy test, if the source has been granted such permission under §63.8(f)(6); and </w:t>
      </w:r>
    </w:p>
    <w:p w:rsidR="003F210F" w:rsidRPr="004D4C57" w:rsidRDefault="003F210F" w:rsidP="004D4C57">
      <w:pPr>
        <w:pStyle w:val="NormalWeb"/>
        <w:rPr>
          <w:sz w:val="22"/>
          <w:szCs w:val="22"/>
        </w:rPr>
      </w:pPr>
      <w:r w:rsidRPr="004D4C57">
        <w:rPr>
          <w:sz w:val="22"/>
          <w:szCs w:val="22"/>
        </w:rPr>
        <w:t xml:space="preserve">(xiv) All documentation supporting initial notifications and notifications of compliance status under §63.9. </w:t>
      </w:r>
    </w:p>
    <w:p w:rsidR="003F210F" w:rsidRPr="004D4C57" w:rsidRDefault="003F210F" w:rsidP="004D4C57">
      <w:pPr>
        <w:pStyle w:val="NormalWeb"/>
        <w:rPr>
          <w:sz w:val="22"/>
          <w:szCs w:val="22"/>
        </w:rPr>
      </w:pPr>
      <w:r w:rsidRPr="004D4C57">
        <w:rPr>
          <w:sz w:val="22"/>
          <w:szCs w:val="22"/>
        </w:rPr>
        <w:t xml:space="preserve">(3) </w:t>
      </w:r>
      <w:r w:rsidRPr="004D4C57">
        <w:rPr>
          <w:i/>
          <w:iCs/>
          <w:sz w:val="22"/>
          <w:szCs w:val="22"/>
        </w:rPr>
        <w:t>Recordkeeping requirement for applicability determinations.</w:t>
      </w:r>
      <w:r w:rsidRPr="004D4C57">
        <w:rPr>
          <w:sz w:val="22"/>
          <w:szCs w:val="22"/>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t>
      </w:r>
      <w:proofErr w:type="gramStart"/>
      <w:r w:rsidRPr="004D4C57">
        <w:rPr>
          <w:sz w:val="22"/>
          <w:szCs w:val="22"/>
        </w:rPr>
        <w:t>with regard to</w:t>
      </w:r>
      <w:proofErr w:type="gramEnd"/>
      <w:r w:rsidRPr="004D4C57">
        <w:rPr>
          <w:sz w:val="22"/>
          <w:szCs w:val="22"/>
        </w:rPr>
        <w:t xml:space="preserve"> the relevant standard or other requirement. If relevant, the analysis must be performed in accordance with requirements established in relevant subparts of this part for this purpose for </w:t>
      </w:r>
      <w:proofErr w:type="gramStart"/>
      <w:r w:rsidRPr="004D4C57">
        <w:rPr>
          <w:sz w:val="22"/>
          <w:szCs w:val="22"/>
        </w:rPr>
        <w:t>particular categories</w:t>
      </w:r>
      <w:proofErr w:type="gramEnd"/>
      <w:r w:rsidRPr="004D4C57">
        <w:rPr>
          <w:sz w:val="22"/>
          <w:szCs w:val="22"/>
        </w:rPr>
        <w:t xml:space="preserve">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3F210F" w:rsidRPr="004D4C57" w:rsidRDefault="003F210F" w:rsidP="004D4C57">
      <w:pPr>
        <w:pStyle w:val="NormalWeb"/>
        <w:rPr>
          <w:sz w:val="22"/>
          <w:szCs w:val="22"/>
        </w:rPr>
      </w:pPr>
      <w:r w:rsidRPr="004D4C57">
        <w:rPr>
          <w:sz w:val="22"/>
          <w:szCs w:val="22"/>
        </w:rPr>
        <w:t xml:space="preserve">(c) </w:t>
      </w:r>
      <w:r w:rsidRPr="004D4C57">
        <w:rPr>
          <w:i/>
          <w:iCs/>
          <w:sz w:val="22"/>
          <w:szCs w:val="22"/>
        </w:rPr>
        <w:t>Additional recordkeeping requirements for sources with continuous monitoring systems.</w:t>
      </w:r>
      <w:r w:rsidRPr="004D4C57">
        <w:rPr>
          <w:sz w:val="22"/>
          <w:szCs w:val="22"/>
        </w:rPr>
        <w:t xml:space="preserve"> In addition to complying with the requirements specified in paragraphs (b)(1) and (b)(2) of this section, the owner or operator of an affected source required to install a CMS by a relevant standard shall maintain records for such source of—</w:t>
      </w:r>
    </w:p>
    <w:p w:rsidR="003F210F" w:rsidRPr="004D4C57" w:rsidRDefault="003F210F" w:rsidP="004D4C57">
      <w:pPr>
        <w:pStyle w:val="NormalWeb"/>
        <w:rPr>
          <w:sz w:val="22"/>
          <w:szCs w:val="22"/>
        </w:rPr>
      </w:pPr>
      <w:r w:rsidRPr="004D4C57">
        <w:rPr>
          <w:sz w:val="22"/>
          <w:szCs w:val="22"/>
        </w:rPr>
        <w:t xml:space="preserve">(1) All required CMS measurements (including monitoring data recorded during unavoidable CMS breakdowns and out-of-control periods); </w:t>
      </w:r>
    </w:p>
    <w:p w:rsidR="003F210F" w:rsidRPr="004D4C57" w:rsidRDefault="003F210F" w:rsidP="004D4C57">
      <w:pPr>
        <w:pStyle w:val="NormalWeb"/>
        <w:rPr>
          <w:sz w:val="22"/>
          <w:szCs w:val="22"/>
        </w:rPr>
      </w:pPr>
      <w:r w:rsidRPr="004D4C57">
        <w:rPr>
          <w:sz w:val="22"/>
          <w:szCs w:val="22"/>
        </w:rPr>
        <w:t>(</w:t>
      </w:r>
      <w:proofErr w:type="gramStart"/>
      <w:r w:rsidRPr="004D4C57">
        <w:rPr>
          <w:sz w:val="22"/>
          <w:szCs w:val="22"/>
        </w:rPr>
        <w:t>2)-(</w:t>
      </w:r>
      <w:proofErr w:type="gramEnd"/>
      <w:r w:rsidRPr="004D4C57">
        <w:rPr>
          <w:sz w:val="22"/>
          <w:szCs w:val="22"/>
        </w:rPr>
        <w:t xml:space="preserve">4) [Reserved] </w:t>
      </w:r>
    </w:p>
    <w:p w:rsidR="003F210F" w:rsidRPr="004D4C57" w:rsidRDefault="003F210F" w:rsidP="004D4C57">
      <w:pPr>
        <w:pStyle w:val="NormalWeb"/>
        <w:rPr>
          <w:sz w:val="22"/>
          <w:szCs w:val="22"/>
        </w:rPr>
      </w:pPr>
      <w:r w:rsidRPr="004D4C57">
        <w:rPr>
          <w:sz w:val="22"/>
          <w:szCs w:val="22"/>
        </w:rPr>
        <w:t xml:space="preserve">(5) The date and time identifying each period during which the CMS was inoperative except for zero (low-level) and high-level checks; </w:t>
      </w:r>
    </w:p>
    <w:p w:rsidR="003F210F" w:rsidRPr="004D4C57" w:rsidRDefault="003F210F" w:rsidP="004D4C57">
      <w:pPr>
        <w:pStyle w:val="NormalWeb"/>
        <w:rPr>
          <w:sz w:val="22"/>
          <w:szCs w:val="22"/>
        </w:rPr>
      </w:pPr>
      <w:r w:rsidRPr="004D4C57">
        <w:rPr>
          <w:sz w:val="22"/>
          <w:szCs w:val="22"/>
        </w:rPr>
        <w:t xml:space="preserve">(6) The date and time identifying each period during which the CMS was out of control, as defined in §63.8(c)(7); </w:t>
      </w:r>
    </w:p>
    <w:p w:rsidR="003F210F" w:rsidRPr="004D4C57" w:rsidRDefault="003F210F" w:rsidP="004D4C57">
      <w:pPr>
        <w:pStyle w:val="NormalWeb"/>
        <w:rPr>
          <w:sz w:val="22"/>
          <w:szCs w:val="22"/>
        </w:rPr>
      </w:pPr>
      <w:r w:rsidRPr="004D4C57">
        <w:rPr>
          <w:sz w:val="22"/>
          <w:szCs w:val="22"/>
        </w:rPr>
        <w:lastRenderedPageBreak/>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3F210F" w:rsidRPr="004D4C57" w:rsidRDefault="003F210F" w:rsidP="004D4C57">
      <w:pPr>
        <w:pStyle w:val="NormalWeb"/>
        <w:rPr>
          <w:sz w:val="22"/>
          <w:szCs w:val="22"/>
        </w:rPr>
      </w:pPr>
      <w:r w:rsidRPr="004D4C57">
        <w:rPr>
          <w:sz w:val="22"/>
          <w:szCs w:val="22"/>
        </w:rPr>
        <w:t xml:space="preserve">(8) The specific identification (i.e., the date and time of commencement and completion) of each </w:t>
      </w:r>
      <w:proofErr w:type="gramStart"/>
      <w:r w:rsidRPr="004D4C57">
        <w:rPr>
          <w:sz w:val="22"/>
          <w:szCs w:val="22"/>
        </w:rPr>
        <w:t>time period</w:t>
      </w:r>
      <w:proofErr w:type="gramEnd"/>
      <w:r w:rsidRPr="004D4C57">
        <w:rPr>
          <w:sz w:val="22"/>
          <w:szCs w:val="22"/>
        </w:rPr>
        <w:t xml:space="preserve"> of excess emissions and parameter monitoring exceedances, as defined in the relevant standard(s), that occurs during periods other than startups, shutdowns, and malfunctions of the affected source; </w:t>
      </w:r>
    </w:p>
    <w:p w:rsidR="003F210F" w:rsidRPr="004D4C57" w:rsidRDefault="003F210F" w:rsidP="004D4C57">
      <w:pPr>
        <w:pStyle w:val="NormalWeb"/>
        <w:rPr>
          <w:sz w:val="22"/>
          <w:szCs w:val="22"/>
        </w:rPr>
      </w:pPr>
      <w:r w:rsidRPr="004D4C57">
        <w:rPr>
          <w:sz w:val="22"/>
          <w:szCs w:val="22"/>
        </w:rPr>
        <w:t xml:space="preserve">(9) [Reserved] </w:t>
      </w:r>
    </w:p>
    <w:p w:rsidR="003F210F" w:rsidRPr="004D4C57" w:rsidRDefault="003F210F" w:rsidP="004D4C57">
      <w:pPr>
        <w:pStyle w:val="NormalWeb"/>
        <w:rPr>
          <w:sz w:val="22"/>
          <w:szCs w:val="22"/>
        </w:rPr>
      </w:pPr>
      <w:r w:rsidRPr="004D4C57">
        <w:rPr>
          <w:sz w:val="22"/>
          <w:szCs w:val="22"/>
        </w:rPr>
        <w:t xml:space="preserve">(10) The nature and cause of any malfunction (if known); </w:t>
      </w:r>
    </w:p>
    <w:p w:rsidR="003F210F" w:rsidRPr="004D4C57" w:rsidRDefault="003F210F" w:rsidP="004D4C57">
      <w:pPr>
        <w:pStyle w:val="NormalWeb"/>
        <w:rPr>
          <w:sz w:val="22"/>
          <w:szCs w:val="22"/>
        </w:rPr>
      </w:pPr>
      <w:r w:rsidRPr="004D4C57">
        <w:rPr>
          <w:sz w:val="22"/>
          <w:szCs w:val="22"/>
        </w:rPr>
        <w:t xml:space="preserve">(11) The corrective action taken or preventive measures adopted; </w:t>
      </w:r>
    </w:p>
    <w:p w:rsidR="003F210F" w:rsidRPr="004D4C57" w:rsidRDefault="003F210F" w:rsidP="004D4C57">
      <w:pPr>
        <w:pStyle w:val="NormalWeb"/>
        <w:rPr>
          <w:sz w:val="22"/>
          <w:szCs w:val="22"/>
        </w:rPr>
      </w:pPr>
      <w:r w:rsidRPr="004D4C57">
        <w:rPr>
          <w:sz w:val="22"/>
          <w:szCs w:val="22"/>
        </w:rPr>
        <w:t xml:space="preserve">(12) The nature of the repairs or adjustments to the CMS that was inoperative or out of control; </w:t>
      </w:r>
    </w:p>
    <w:p w:rsidR="003F210F" w:rsidRPr="004D4C57" w:rsidRDefault="003F210F" w:rsidP="004D4C57">
      <w:pPr>
        <w:pStyle w:val="NormalWeb"/>
        <w:rPr>
          <w:sz w:val="22"/>
          <w:szCs w:val="22"/>
        </w:rPr>
      </w:pPr>
      <w:r w:rsidRPr="004D4C57">
        <w:rPr>
          <w:sz w:val="22"/>
          <w:szCs w:val="22"/>
        </w:rPr>
        <w:t xml:space="preserve">(13) The total process operating time during the reporting period; and </w:t>
      </w:r>
    </w:p>
    <w:p w:rsidR="003F210F" w:rsidRPr="004D4C57" w:rsidRDefault="003F210F" w:rsidP="004D4C57">
      <w:pPr>
        <w:pStyle w:val="NormalWeb"/>
        <w:rPr>
          <w:sz w:val="22"/>
          <w:szCs w:val="22"/>
        </w:rPr>
      </w:pPr>
      <w:r w:rsidRPr="004D4C57">
        <w:rPr>
          <w:sz w:val="22"/>
          <w:szCs w:val="22"/>
        </w:rPr>
        <w:t xml:space="preserve">(14) All procedures that are part of a quality control program developed and implemented for CMS under §63.8(d). </w:t>
      </w:r>
    </w:p>
    <w:p w:rsidR="003F210F" w:rsidRPr="004D4C57" w:rsidRDefault="003F210F" w:rsidP="004D4C57">
      <w:pPr>
        <w:pStyle w:val="NormalWeb"/>
        <w:rPr>
          <w:sz w:val="22"/>
          <w:szCs w:val="22"/>
        </w:rPr>
      </w:pPr>
      <w:r w:rsidRPr="004D4C57">
        <w:rPr>
          <w:sz w:val="22"/>
          <w:szCs w:val="22"/>
        </w:rPr>
        <w:t>(15) In order to satisfy the requirements of paragraphs (c</w:t>
      </w:r>
      <w:proofErr w:type="gramStart"/>
      <w:r w:rsidRPr="004D4C57">
        <w:rPr>
          <w:sz w:val="22"/>
          <w:szCs w:val="22"/>
        </w:rPr>
        <w:t>)(</w:t>
      </w:r>
      <w:proofErr w:type="gramEnd"/>
      <w:r w:rsidRPr="004D4C57">
        <w:rPr>
          <w:sz w:val="22"/>
          <w:szCs w:val="22"/>
        </w:rPr>
        <w:t>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3F210F" w:rsidRPr="004D4C57" w:rsidRDefault="003F210F" w:rsidP="004D4C57">
      <w:pPr>
        <w:pStyle w:val="NormalWeb"/>
        <w:rPr>
          <w:sz w:val="22"/>
          <w:szCs w:val="22"/>
        </w:rPr>
      </w:pPr>
      <w:r w:rsidRPr="004D4C57">
        <w:rPr>
          <w:sz w:val="22"/>
          <w:szCs w:val="22"/>
        </w:rPr>
        <w:t xml:space="preserve">(d) </w:t>
      </w:r>
      <w:r w:rsidRPr="004D4C57">
        <w:rPr>
          <w:i/>
          <w:iCs/>
          <w:sz w:val="22"/>
          <w:szCs w:val="22"/>
        </w:rPr>
        <w:t>General reporting requirements.</w:t>
      </w:r>
      <w:r w:rsidRPr="004D4C57">
        <w:rPr>
          <w:sz w:val="22"/>
          <w:szCs w:val="22"/>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3F210F" w:rsidRPr="004D4C57" w:rsidRDefault="003F210F" w:rsidP="004D4C57">
      <w:pPr>
        <w:pStyle w:val="NormalWeb"/>
        <w:rPr>
          <w:sz w:val="22"/>
          <w:szCs w:val="22"/>
        </w:rPr>
      </w:pPr>
      <w:r w:rsidRPr="004D4C57">
        <w:rPr>
          <w:sz w:val="22"/>
          <w:szCs w:val="22"/>
        </w:rPr>
        <w:t xml:space="preserve">(2) </w:t>
      </w:r>
      <w:r w:rsidRPr="004D4C57">
        <w:rPr>
          <w:i/>
          <w:iCs/>
          <w:sz w:val="22"/>
          <w:szCs w:val="22"/>
        </w:rPr>
        <w:t>Reporting results of performance tests.</w:t>
      </w:r>
      <w:r w:rsidRPr="004D4C57">
        <w:rPr>
          <w:sz w:val="22"/>
          <w:szCs w:val="22"/>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3F210F" w:rsidRPr="004D4C57" w:rsidRDefault="003F210F" w:rsidP="004D4C57">
      <w:pPr>
        <w:pStyle w:val="NormalWeb"/>
        <w:rPr>
          <w:sz w:val="22"/>
          <w:szCs w:val="22"/>
        </w:rPr>
      </w:pPr>
      <w:r w:rsidRPr="004D4C57">
        <w:rPr>
          <w:sz w:val="22"/>
          <w:szCs w:val="22"/>
        </w:rPr>
        <w:t xml:space="preserve">(3) </w:t>
      </w:r>
      <w:r w:rsidRPr="004D4C57">
        <w:rPr>
          <w:i/>
          <w:iCs/>
          <w:sz w:val="22"/>
          <w:szCs w:val="22"/>
        </w:rPr>
        <w:t>Reporting results of opacity or visible emission observations.</w:t>
      </w:r>
      <w:r w:rsidRPr="004D4C57">
        <w:rPr>
          <w:sz w:val="22"/>
          <w:szCs w:val="22"/>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w:t>
      </w:r>
      <w:r w:rsidRPr="004D4C57">
        <w:rPr>
          <w:sz w:val="22"/>
          <w:szCs w:val="22"/>
        </w:rPr>
        <w:lastRenderedPageBreak/>
        <w:t xml:space="preserve">visible emission results before the close of business on the 30th day following the completion of the opacity or visible emission observations. </w:t>
      </w:r>
    </w:p>
    <w:p w:rsidR="003F210F" w:rsidRPr="004D4C57" w:rsidRDefault="003F210F" w:rsidP="004D4C57">
      <w:pPr>
        <w:pStyle w:val="NormalWeb"/>
        <w:rPr>
          <w:sz w:val="22"/>
          <w:szCs w:val="22"/>
        </w:rPr>
      </w:pPr>
      <w:r w:rsidRPr="004D4C57">
        <w:rPr>
          <w:sz w:val="22"/>
          <w:szCs w:val="22"/>
        </w:rPr>
        <w:t xml:space="preserve">(4) </w:t>
      </w:r>
      <w:r w:rsidRPr="004D4C57">
        <w:rPr>
          <w:i/>
          <w:iCs/>
          <w:sz w:val="22"/>
          <w:szCs w:val="22"/>
        </w:rPr>
        <w:t>Progress reports.</w:t>
      </w:r>
      <w:r w:rsidRPr="004D4C57">
        <w:rPr>
          <w:sz w:val="22"/>
          <w:szCs w:val="22"/>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3F210F" w:rsidRPr="004D4C57" w:rsidRDefault="003F210F" w:rsidP="004D4C57">
      <w:pPr>
        <w:pStyle w:val="NormalWeb"/>
        <w:rPr>
          <w:sz w:val="22"/>
          <w:szCs w:val="22"/>
        </w:rPr>
      </w:pPr>
      <w:r w:rsidRPr="004D4C57">
        <w:rPr>
          <w:sz w:val="22"/>
          <w:szCs w:val="22"/>
        </w:rPr>
        <w:t xml:space="preserve">(5)(i) </w:t>
      </w:r>
      <w:r w:rsidRPr="004D4C57">
        <w:rPr>
          <w:i/>
          <w:iCs/>
          <w:sz w:val="22"/>
          <w:szCs w:val="22"/>
        </w:rPr>
        <w:t>Periodic startup, shutdown, and malfunction reports.</w:t>
      </w:r>
      <w:r w:rsidRPr="004D4C57">
        <w:rPr>
          <w:sz w:val="22"/>
          <w:szCs w:val="22"/>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3F210F" w:rsidRPr="004D4C57" w:rsidRDefault="003F210F" w:rsidP="004D4C57">
      <w:pPr>
        <w:pStyle w:val="NormalWeb"/>
        <w:rPr>
          <w:sz w:val="22"/>
          <w:szCs w:val="22"/>
        </w:rPr>
      </w:pPr>
      <w:r w:rsidRPr="004D4C57">
        <w:rPr>
          <w:sz w:val="22"/>
          <w:szCs w:val="22"/>
        </w:rPr>
        <w:t xml:space="preserve">(ii) </w:t>
      </w:r>
      <w:r w:rsidRPr="004D4C57">
        <w:rPr>
          <w:i/>
          <w:iCs/>
          <w:sz w:val="22"/>
          <w:szCs w:val="22"/>
        </w:rPr>
        <w:t>Immediate startup, shutdown, and malfunction reports.</w:t>
      </w:r>
      <w:r w:rsidRPr="004D4C57">
        <w:rPr>
          <w:sz w:val="22"/>
          <w:szCs w:val="22"/>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w:t>
      </w:r>
      <w:r w:rsidRPr="004D4C57">
        <w:rPr>
          <w:sz w:val="22"/>
          <w:szCs w:val="22"/>
        </w:rPr>
        <w:lastRenderedPageBreak/>
        <w:t>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3F210F" w:rsidRPr="004D4C57" w:rsidRDefault="003F210F" w:rsidP="004D4C57">
      <w:pPr>
        <w:pStyle w:val="NormalWeb"/>
        <w:rPr>
          <w:sz w:val="22"/>
          <w:szCs w:val="22"/>
        </w:rPr>
      </w:pPr>
      <w:r w:rsidRPr="004D4C57">
        <w:rPr>
          <w:sz w:val="22"/>
          <w:szCs w:val="22"/>
        </w:rPr>
        <w:t xml:space="preserve">(e) </w:t>
      </w:r>
      <w:r w:rsidRPr="004D4C57">
        <w:rPr>
          <w:i/>
          <w:iCs/>
          <w:sz w:val="22"/>
          <w:szCs w:val="22"/>
        </w:rPr>
        <w:t>Additional reporting requirements for sources with continuous monitoring systems</w:t>
      </w:r>
      <w:proofErr w:type="gramStart"/>
      <w:r w:rsidRPr="004D4C57">
        <w:rPr>
          <w:sz w:val="22"/>
          <w:szCs w:val="22"/>
        </w:rPr>
        <w:t>—(</w:t>
      </w:r>
      <w:proofErr w:type="gramEnd"/>
      <w:r w:rsidRPr="004D4C57">
        <w:rPr>
          <w:sz w:val="22"/>
          <w:szCs w:val="22"/>
        </w:rPr>
        <w:t xml:space="preserve">1) </w:t>
      </w:r>
      <w:r w:rsidRPr="004D4C57">
        <w:rPr>
          <w:i/>
          <w:iCs/>
          <w:sz w:val="22"/>
          <w:szCs w:val="22"/>
        </w:rPr>
        <w:t>General.</w:t>
      </w:r>
      <w:r w:rsidRPr="004D4C57">
        <w:rPr>
          <w:sz w:val="22"/>
          <w:szCs w:val="22"/>
        </w:rPr>
        <w:t xml:space="preserve"> When more than one CEMS is used to measure the emissions from one affected source (e.g., multiple breechings, multiple outlets), the owner or operator shall report the results as required for each CEMS. </w:t>
      </w:r>
    </w:p>
    <w:p w:rsidR="003F210F" w:rsidRPr="004D4C57" w:rsidRDefault="003F210F" w:rsidP="004D4C57">
      <w:pPr>
        <w:pStyle w:val="NormalWeb"/>
        <w:rPr>
          <w:sz w:val="22"/>
          <w:szCs w:val="22"/>
        </w:rPr>
      </w:pPr>
      <w:r w:rsidRPr="004D4C57">
        <w:rPr>
          <w:sz w:val="22"/>
          <w:szCs w:val="22"/>
        </w:rPr>
        <w:t xml:space="preserve">(2) </w:t>
      </w:r>
      <w:r w:rsidRPr="004D4C57">
        <w:rPr>
          <w:i/>
          <w:iCs/>
          <w:sz w:val="22"/>
          <w:szCs w:val="22"/>
        </w:rPr>
        <w:t>Reporting results of continuous monitoring system performance evaluations.</w:t>
      </w:r>
      <w:r w:rsidRPr="004D4C57">
        <w:rPr>
          <w:sz w:val="22"/>
          <w:szCs w:val="22"/>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3F210F" w:rsidRPr="004D4C57" w:rsidRDefault="003F210F" w:rsidP="004D4C57">
      <w:pPr>
        <w:pStyle w:val="NormalWeb"/>
        <w:rPr>
          <w:sz w:val="22"/>
          <w:szCs w:val="22"/>
        </w:rPr>
      </w:pPr>
      <w:r w:rsidRPr="004D4C57">
        <w:rPr>
          <w:sz w:val="22"/>
          <w:szCs w:val="22"/>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3F210F" w:rsidRPr="004D4C57" w:rsidRDefault="003F210F" w:rsidP="004D4C57">
      <w:pPr>
        <w:pStyle w:val="NormalWeb"/>
        <w:rPr>
          <w:sz w:val="22"/>
          <w:szCs w:val="22"/>
        </w:rPr>
      </w:pPr>
      <w:r w:rsidRPr="004D4C57">
        <w:rPr>
          <w:sz w:val="22"/>
          <w:szCs w:val="22"/>
        </w:rPr>
        <w:t xml:space="preserve">(3) </w:t>
      </w:r>
      <w:r w:rsidRPr="004D4C57">
        <w:rPr>
          <w:i/>
          <w:iCs/>
          <w:sz w:val="22"/>
          <w:szCs w:val="22"/>
        </w:rPr>
        <w:t>Excess emissions and continuous monitoring system performance report and summary report.</w:t>
      </w:r>
      <w:r w:rsidRPr="004D4C57">
        <w:rPr>
          <w:sz w:val="22"/>
          <w:szCs w:val="22"/>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3F210F" w:rsidRPr="004D4C57" w:rsidRDefault="003F210F" w:rsidP="004D4C57">
      <w:pPr>
        <w:pStyle w:val="NormalWeb"/>
        <w:rPr>
          <w:sz w:val="22"/>
          <w:szCs w:val="22"/>
        </w:rPr>
      </w:pPr>
      <w:r w:rsidRPr="004D4C57">
        <w:rPr>
          <w:sz w:val="22"/>
          <w:szCs w:val="22"/>
        </w:rPr>
        <w:t xml:space="preserve">(A) More frequent reporting is specifically required by a relevant standard; </w:t>
      </w:r>
    </w:p>
    <w:p w:rsidR="003F210F" w:rsidRPr="004D4C57" w:rsidRDefault="003F210F" w:rsidP="004D4C57">
      <w:pPr>
        <w:pStyle w:val="NormalWeb"/>
        <w:rPr>
          <w:sz w:val="22"/>
          <w:szCs w:val="22"/>
        </w:rPr>
      </w:pPr>
      <w:r w:rsidRPr="004D4C57">
        <w:rPr>
          <w:sz w:val="22"/>
          <w:szCs w:val="22"/>
        </w:rPr>
        <w:t xml:space="preserve">(B) The Administrator determines on a case-by-case basis that more frequent reporting is necessary to accurately assess the compliance status of the source; or </w:t>
      </w:r>
    </w:p>
    <w:p w:rsidR="003F210F" w:rsidRPr="004D4C57" w:rsidRDefault="003F210F" w:rsidP="004D4C57">
      <w:pPr>
        <w:pStyle w:val="NormalWeb"/>
        <w:rPr>
          <w:sz w:val="22"/>
          <w:szCs w:val="22"/>
        </w:rPr>
      </w:pPr>
      <w:r w:rsidRPr="004D4C57">
        <w:rPr>
          <w:sz w:val="22"/>
          <w:szCs w:val="22"/>
        </w:rPr>
        <w:t>(C) [Reserved]</w:t>
      </w:r>
    </w:p>
    <w:p w:rsidR="003F210F" w:rsidRPr="004D4C57" w:rsidRDefault="003F210F" w:rsidP="004D4C57">
      <w:pPr>
        <w:pStyle w:val="NormalWeb"/>
        <w:rPr>
          <w:sz w:val="22"/>
          <w:szCs w:val="22"/>
        </w:rPr>
      </w:pPr>
      <w:r w:rsidRPr="004D4C57">
        <w:rPr>
          <w:sz w:val="22"/>
          <w:szCs w:val="22"/>
        </w:rPr>
        <w:t>(D) The affected source is complying with the Performance Track Provisions of §63.16, which allows less frequent reporting.</w:t>
      </w:r>
    </w:p>
    <w:p w:rsidR="003F210F" w:rsidRPr="004D4C57" w:rsidRDefault="003F210F" w:rsidP="004D4C57">
      <w:pPr>
        <w:pStyle w:val="NormalWeb"/>
        <w:rPr>
          <w:sz w:val="22"/>
          <w:szCs w:val="22"/>
        </w:rPr>
      </w:pPr>
      <w:r w:rsidRPr="004D4C57">
        <w:rPr>
          <w:sz w:val="22"/>
          <w:szCs w:val="22"/>
        </w:rPr>
        <w:t xml:space="preserve">(ii) </w:t>
      </w:r>
      <w:r w:rsidRPr="004D4C57">
        <w:rPr>
          <w:i/>
          <w:iCs/>
          <w:sz w:val="22"/>
          <w:szCs w:val="22"/>
        </w:rPr>
        <w:t>Request to reduce frequency of excess emissions and continuous monitoring system performance reports.</w:t>
      </w:r>
      <w:r w:rsidRPr="004D4C57">
        <w:rPr>
          <w:sz w:val="22"/>
          <w:szCs w:val="22"/>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3F210F" w:rsidRPr="004D4C57" w:rsidRDefault="003F210F" w:rsidP="004D4C57">
      <w:pPr>
        <w:pStyle w:val="NormalWeb"/>
        <w:rPr>
          <w:sz w:val="22"/>
          <w:szCs w:val="22"/>
        </w:rPr>
      </w:pPr>
      <w:r w:rsidRPr="004D4C57">
        <w:rPr>
          <w:sz w:val="22"/>
          <w:szCs w:val="22"/>
        </w:rPr>
        <w:t xml:space="preserve">(A) For 1 full year (e.g., 4 quarterly or 12 monthly reporting periods) the affected source's excess emissions and continuous monitoring system performance reports continually demonstrate that the source </w:t>
      </w:r>
      <w:proofErr w:type="gramStart"/>
      <w:r w:rsidRPr="004D4C57">
        <w:rPr>
          <w:sz w:val="22"/>
          <w:szCs w:val="22"/>
        </w:rPr>
        <w:t>is in compliance with</w:t>
      </w:r>
      <w:proofErr w:type="gramEnd"/>
      <w:r w:rsidRPr="004D4C57">
        <w:rPr>
          <w:sz w:val="22"/>
          <w:szCs w:val="22"/>
        </w:rPr>
        <w:t xml:space="preserve"> the relevant standard; </w:t>
      </w:r>
    </w:p>
    <w:p w:rsidR="003F210F" w:rsidRPr="004D4C57" w:rsidRDefault="003F210F" w:rsidP="004D4C57">
      <w:pPr>
        <w:pStyle w:val="NormalWeb"/>
        <w:rPr>
          <w:sz w:val="22"/>
          <w:szCs w:val="22"/>
        </w:rPr>
      </w:pPr>
      <w:r w:rsidRPr="004D4C57">
        <w:rPr>
          <w:sz w:val="22"/>
          <w:szCs w:val="22"/>
        </w:rPr>
        <w:t xml:space="preserve">(B) The owner or operator continues to comply with all recordkeeping and monitoring requirements specified in this subpart and the relevant standard; and </w:t>
      </w:r>
    </w:p>
    <w:p w:rsidR="003F210F" w:rsidRPr="004D4C57" w:rsidRDefault="003F210F" w:rsidP="004D4C57">
      <w:pPr>
        <w:pStyle w:val="NormalWeb"/>
        <w:rPr>
          <w:sz w:val="22"/>
          <w:szCs w:val="22"/>
        </w:rPr>
      </w:pPr>
      <w:r w:rsidRPr="004D4C57">
        <w:rPr>
          <w:sz w:val="22"/>
          <w:szCs w:val="22"/>
        </w:rPr>
        <w:lastRenderedPageBreak/>
        <w:t xml:space="preserve">(C) The Administrator does not object to a reduced frequency of reporting for the affected source, as provided in paragraph (e)(3)(iii) of this section. </w:t>
      </w:r>
    </w:p>
    <w:p w:rsidR="003F210F" w:rsidRPr="004D4C57" w:rsidRDefault="003F210F" w:rsidP="004D4C57">
      <w:pPr>
        <w:pStyle w:val="NormalWeb"/>
        <w:rPr>
          <w:sz w:val="22"/>
          <w:szCs w:val="22"/>
        </w:rPr>
      </w:pPr>
      <w:r w:rsidRPr="004D4C57">
        <w:rPr>
          <w:sz w:val="22"/>
          <w:szCs w:val="22"/>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3F210F" w:rsidRPr="004D4C57" w:rsidRDefault="003F210F" w:rsidP="004D4C57">
      <w:pPr>
        <w:pStyle w:val="NormalWeb"/>
        <w:rPr>
          <w:sz w:val="22"/>
          <w:szCs w:val="22"/>
        </w:rPr>
      </w:pPr>
      <w:r w:rsidRPr="004D4C57">
        <w:rPr>
          <w:sz w:val="22"/>
          <w:szCs w:val="22"/>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3F210F" w:rsidRPr="004D4C57" w:rsidRDefault="003F210F" w:rsidP="004D4C57">
      <w:pPr>
        <w:pStyle w:val="NormalWeb"/>
        <w:rPr>
          <w:sz w:val="22"/>
          <w:szCs w:val="22"/>
        </w:rPr>
      </w:pPr>
      <w:r w:rsidRPr="004D4C57">
        <w:rPr>
          <w:sz w:val="22"/>
          <w:szCs w:val="22"/>
        </w:rPr>
        <w:t xml:space="preserve">(v) </w:t>
      </w:r>
      <w:r w:rsidRPr="004D4C57">
        <w:rPr>
          <w:i/>
          <w:iCs/>
          <w:sz w:val="22"/>
          <w:szCs w:val="22"/>
        </w:rPr>
        <w:t>Content and submittal dates for excess emissions and monitoring system performance reports.</w:t>
      </w:r>
      <w:r w:rsidRPr="004D4C57">
        <w:rPr>
          <w:sz w:val="22"/>
          <w:szCs w:val="22"/>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w:t>
      </w:r>
      <w:proofErr w:type="gramStart"/>
      <w:r w:rsidRPr="004D4C57">
        <w:rPr>
          <w:sz w:val="22"/>
          <w:szCs w:val="22"/>
        </w:rPr>
        <w:t>)(</w:t>
      </w:r>
      <w:proofErr w:type="gramEnd"/>
      <w:r w:rsidRPr="004D4C57">
        <w:rPr>
          <w:sz w:val="22"/>
          <w:szCs w:val="22"/>
        </w:rPr>
        <w:t xml:space="preserve">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3F210F" w:rsidRPr="004D4C57" w:rsidRDefault="003F210F" w:rsidP="004D4C57">
      <w:pPr>
        <w:pStyle w:val="NormalWeb"/>
        <w:rPr>
          <w:sz w:val="22"/>
          <w:szCs w:val="22"/>
        </w:rPr>
      </w:pPr>
      <w:r w:rsidRPr="004D4C57">
        <w:rPr>
          <w:sz w:val="22"/>
          <w:szCs w:val="22"/>
        </w:rPr>
        <w:t xml:space="preserve">(vi) </w:t>
      </w:r>
      <w:r w:rsidRPr="004D4C57">
        <w:rPr>
          <w:i/>
          <w:iCs/>
          <w:sz w:val="22"/>
          <w:szCs w:val="22"/>
        </w:rPr>
        <w:t>Summary report.</w:t>
      </w:r>
      <w:r w:rsidRPr="004D4C57">
        <w:rPr>
          <w:sz w:val="22"/>
          <w:szCs w:val="22"/>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3F210F" w:rsidRPr="004D4C57" w:rsidRDefault="003F210F" w:rsidP="004D4C57">
      <w:pPr>
        <w:pStyle w:val="NormalWeb"/>
        <w:rPr>
          <w:sz w:val="22"/>
          <w:szCs w:val="22"/>
        </w:rPr>
      </w:pPr>
      <w:r w:rsidRPr="004D4C57">
        <w:rPr>
          <w:sz w:val="22"/>
          <w:szCs w:val="22"/>
        </w:rPr>
        <w:t xml:space="preserve">(A) The company name and address of the affected source; </w:t>
      </w:r>
    </w:p>
    <w:p w:rsidR="003F210F" w:rsidRPr="004D4C57" w:rsidRDefault="003F210F" w:rsidP="004D4C57">
      <w:pPr>
        <w:pStyle w:val="NormalWeb"/>
        <w:rPr>
          <w:sz w:val="22"/>
          <w:szCs w:val="22"/>
        </w:rPr>
      </w:pPr>
      <w:r w:rsidRPr="004D4C57">
        <w:rPr>
          <w:sz w:val="22"/>
          <w:szCs w:val="22"/>
        </w:rPr>
        <w:t xml:space="preserve">(B) An identification of each hazardous air pollutant monitored at the affected source; </w:t>
      </w:r>
    </w:p>
    <w:p w:rsidR="003F210F" w:rsidRPr="004D4C57" w:rsidRDefault="003F210F" w:rsidP="004D4C57">
      <w:pPr>
        <w:pStyle w:val="NormalWeb"/>
        <w:rPr>
          <w:sz w:val="22"/>
          <w:szCs w:val="22"/>
        </w:rPr>
      </w:pPr>
      <w:r w:rsidRPr="004D4C57">
        <w:rPr>
          <w:sz w:val="22"/>
          <w:szCs w:val="22"/>
        </w:rPr>
        <w:t xml:space="preserve">(C) The beginning and ending dates of the reporting period; </w:t>
      </w:r>
    </w:p>
    <w:p w:rsidR="003F210F" w:rsidRPr="004D4C57" w:rsidRDefault="003F210F" w:rsidP="004D4C57">
      <w:pPr>
        <w:pStyle w:val="NormalWeb"/>
        <w:rPr>
          <w:sz w:val="22"/>
          <w:szCs w:val="22"/>
        </w:rPr>
      </w:pPr>
      <w:r w:rsidRPr="004D4C57">
        <w:rPr>
          <w:sz w:val="22"/>
          <w:szCs w:val="22"/>
        </w:rPr>
        <w:t xml:space="preserve">(D) A brief description of the process units; </w:t>
      </w:r>
    </w:p>
    <w:p w:rsidR="003F210F" w:rsidRPr="004D4C57" w:rsidRDefault="003F210F" w:rsidP="004D4C57">
      <w:pPr>
        <w:pStyle w:val="NormalWeb"/>
        <w:rPr>
          <w:sz w:val="22"/>
          <w:szCs w:val="22"/>
        </w:rPr>
      </w:pPr>
      <w:r w:rsidRPr="004D4C57">
        <w:rPr>
          <w:sz w:val="22"/>
          <w:szCs w:val="22"/>
        </w:rPr>
        <w:lastRenderedPageBreak/>
        <w:t xml:space="preserve">(E) The emission and operating parameter limitations specified in the relevant standard(s); </w:t>
      </w:r>
    </w:p>
    <w:p w:rsidR="003F210F" w:rsidRPr="004D4C57" w:rsidRDefault="003F210F" w:rsidP="004D4C57">
      <w:pPr>
        <w:pStyle w:val="NormalWeb"/>
        <w:rPr>
          <w:sz w:val="22"/>
          <w:szCs w:val="22"/>
        </w:rPr>
      </w:pPr>
      <w:r w:rsidRPr="004D4C57">
        <w:rPr>
          <w:sz w:val="22"/>
          <w:szCs w:val="22"/>
        </w:rPr>
        <w:t xml:space="preserve">(F) The monitoring equipment manufacturer(s) and model number(s); </w:t>
      </w:r>
    </w:p>
    <w:p w:rsidR="003F210F" w:rsidRPr="004D4C57" w:rsidRDefault="003F210F" w:rsidP="004D4C57">
      <w:pPr>
        <w:pStyle w:val="NormalWeb"/>
        <w:rPr>
          <w:sz w:val="22"/>
          <w:szCs w:val="22"/>
        </w:rPr>
      </w:pPr>
      <w:r w:rsidRPr="004D4C57">
        <w:rPr>
          <w:sz w:val="22"/>
          <w:szCs w:val="22"/>
        </w:rPr>
        <w:t xml:space="preserve">(G) The date of the latest CMS certification or audit; </w:t>
      </w:r>
    </w:p>
    <w:p w:rsidR="003F210F" w:rsidRPr="004D4C57" w:rsidRDefault="003F210F" w:rsidP="004D4C57">
      <w:pPr>
        <w:pStyle w:val="NormalWeb"/>
        <w:rPr>
          <w:sz w:val="22"/>
          <w:szCs w:val="22"/>
        </w:rPr>
      </w:pPr>
      <w:r w:rsidRPr="004D4C57">
        <w:rPr>
          <w:sz w:val="22"/>
          <w:szCs w:val="22"/>
        </w:rPr>
        <w:t xml:space="preserve">(H) The total operating time of the affected source during the reporting period; </w:t>
      </w:r>
    </w:p>
    <w:p w:rsidR="003F210F" w:rsidRPr="004D4C57" w:rsidRDefault="003F210F" w:rsidP="004D4C57">
      <w:pPr>
        <w:pStyle w:val="NormalWeb"/>
        <w:rPr>
          <w:sz w:val="22"/>
          <w:szCs w:val="22"/>
        </w:rPr>
      </w:pPr>
      <w:r w:rsidRPr="004D4C57">
        <w:rPr>
          <w:sz w:val="22"/>
          <w:szCs w:val="22"/>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3F210F" w:rsidRPr="004D4C57" w:rsidRDefault="003F210F" w:rsidP="004D4C57">
      <w:pPr>
        <w:pStyle w:val="NormalWeb"/>
        <w:rPr>
          <w:sz w:val="22"/>
          <w:szCs w:val="22"/>
        </w:rPr>
      </w:pPr>
      <w:r w:rsidRPr="004D4C57">
        <w:rPr>
          <w:sz w:val="22"/>
          <w:szCs w:val="22"/>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3F210F" w:rsidRPr="004D4C57" w:rsidRDefault="003F210F" w:rsidP="004D4C57">
      <w:pPr>
        <w:pStyle w:val="NormalWeb"/>
        <w:rPr>
          <w:sz w:val="22"/>
          <w:szCs w:val="22"/>
        </w:rPr>
      </w:pPr>
      <w:r w:rsidRPr="004D4C57">
        <w:rPr>
          <w:sz w:val="22"/>
          <w:szCs w:val="22"/>
        </w:rPr>
        <w:t xml:space="preserve">(K) A description of any changes in CMS, processes, or controls since the last reporting period; </w:t>
      </w:r>
    </w:p>
    <w:p w:rsidR="003F210F" w:rsidRPr="004D4C57" w:rsidRDefault="003F210F" w:rsidP="004D4C57">
      <w:pPr>
        <w:pStyle w:val="NormalWeb"/>
        <w:rPr>
          <w:sz w:val="22"/>
          <w:szCs w:val="22"/>
        </w:rPr>
      </w:pPr>
      <w:r w:rsidRPr="004D4C57">
        <w:rPr>
          <w:sz w:val="22"/>
          <w:szCs w:val="22"/>
        </w:rPr>
        <w:t xml:space="preserve">(L) The name, title, and signature of the responsible official who is certifying the accuracy of the report; and </w:t>
      </w:r>
    </w:p>
    <w:p w:rsidR="003F210F" w:rsidRPr="004D4C57" w:rsidRDefault="003F210F" w:rsidP="004D4C57">
      <w:pPr>
        <w:pStyle w:val="NormalWeb"/>
        <w:rPr>
          <w:sz w:val="22"/>
          <w:szCs w:val="22"/>
        </w:rPr>
      </w:pPr>
      <w:r w:rsidRPr="004D4C57">
        <w:rPr>
          <w:sz w:val="22"/>
          <w:szCs w:val="22"/>
        </w:rPr>
        <w:t xml:space="preserve">(M) The date of the report. </w:t>
      </w:r>
    </w:p>
    <w:p w:rsidR="003F210F" w:rsidRPr="004D4C57" w:rsidRDefault="003F210F" w:rsidP="004D4C57">
      <w:pPr>
        <w:pStyle w:val="NormalWeb"/>
        <w:rPr>
          <w:sz w:val="22"/>
          <w:szCs w:val="22"/>
        </w:rPr>
      </w:pPr>
      <w:r w:rsidRPr="004D4C57">
        <w:rPr>
          <w:sz w:val="22"/>
          <w:szCs w:val="22"/>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3F210F" w:rsidRPr="004D4C57" w:rsidRDefault="003F210F" w:rsidP="004D4C57">
      <w:pPr>
        <w:pStyle w:val="NormalWeb"/>
        <w:rPr>
          <w:sz w:val="22"/>
          <w:szCs w:val="22"/>
        </w:rPr>
      </w:pPr>
      <w:r w:rsidRPr="004D4C57">
        <w:rPr>
          <w:sz w:val="22"/>
          <w:szCs w:val="22"/>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3F210F" w:rsidRPr="004D4C57" w:rsidRDefault="003F210F" w:rsidP="004D4C57">
      <w:pPr>
        <w:pStyle w:val="NormalWeb"/>
        <w:rPr>
          <w:sz w:val="22"/>
          <w:szCs w:val="22"/>
        </w:rPr>
      </w:pPr>
      <w:r w:rsidRPr="004D4C57">
        <w:rPr>
          <w:sz w:val="22"/>
          <w:szCs w:val="22"/>
        </w:rPr>
        <w:t xml:space="preserve">(4) </w:t>
      </w:r>
      <w:r w:rsidRPr="004D4C57">
        <w:rPr>
          <w:i/>
          <w:iCs/>
          <w:sz w:val="22"/>
          <w:szCs w:val="22"/>
        </w:rPr>
        <w:t>Reporting continuous opacity monitoring system data produced during a performance test.</w:t>
      </w:r>
      <w:r w:rsidRPr="004D4C57">
        <w:rPr>
          <w:sz w:val="22"/>
          <w:szCs w:val="22"/>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rsidR="003F210F" w:rsidRPr="004D4C57" w:rsidRDefault="003F210F" w:rsidP="004D4C57">
      <w:pPr>
        <w:pStyle w:val="NormalWeb"/>
        <w:rPr>
          <w:sz w:val="22"/>
          <w:szCs w:val="22"/>
        </w:rPr>
      </w:pPr>
      <w:r w:rsidRPr="004D4C57">
        <w:rPr>
          <w:sz w:val="22"/>
          <w:szCs w:val="22"/>
        </w:rPr>
        <w:t xml:space="preserve">(f) </w:t>
      </w:r>
      <w:r w:rsidRPr="004D4C57">
        <w:rPr>
          <w:i/>
          <w:iCs/>
          <w:sz w:val="22"/>
          <w:szCs w:val="22"/>
        </w:rPr>
        <w:t>Waiver of recordkeeping or reporting requirements.</w:t>
      </w:r>
      <w:r w:rsidRPr="004D4C57">
        <w:rPr>
          <w:sz w:val="22"/>
          <w:szCs w:val="22"/>
        </w:rPr>
        <w:t xml:space="preserve"> (1) Until a waiver of a recordkeeping or reporting requirement has been granted by the Administrator under this paragraph, the owner or operator of an affected source remains subject to the requirements of this section. </w:t>
      </w:r>
    </w:p>
    <w:p w:rsidR="003F210F" w:rsidRPr="004D4C57" w:rsidRDefault="003F210F" w:rsidP="004D4C57">
      <w:pPr>
        <w:pStyle w:val="NormalWeb"/>
        <w:rPr>
          <w:sz w:val="22"/>
          <w:szCs w:val="22"/>
        </w:rPr>
      </w:pPr>
      <w:r w:rsidRPr="004D4C57">
        <w:rPr>
          <w:sz w:val="22"/>
          <w:szCs w:val="22"/>
        </w:rPr>
        <w:lastRenderedPageBreak/>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3F210F" w:rsidRPr="004D4C57" w:rsidRDefault="003F210F" w:rsidP="004D4C57">
      <w:pPr>
        <w:pStyle w:val="NormalWeb"/>
        <w:rPr>
          <w:sz w:val="22"/>
          <w:szCs w:val="22"/>
        </w:rPr>
      </w:pPr>
      <w:r w:rsidRPr="004D4C57">
        <w:rPr>
          <w:sz w:val="22"/>
          <w:szCs w:val="22"/>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3F210F" w:rsidRPr="004D4C57" w:rsidRDefault="003F210F" w:rsidP="004D4C57">
      <w:pPr>
        <w:pStyle w:val="NormalWeb"/>
        <w:rPr>
          <w:sz w:val="22"/>
          <w:szCs w:val="22"/>
        </w:rPr>
      </w:pPr>
      <w:r w:rsidRPr="004D4C57">
        <w:rPr>
          <w:sz w:val="22"/>
          <w:szCs w:val="22"/>
        </w:rPr>
        <w:t xml:space="preserve">(4) The Administrator will approve or deny a request for a waiver of recordkeeping or reporting requirements under this paragraph when he/she— </w:t>
      </w:r>
    </w:p>
    <w:p w:rsidR="003F210F" w:rsidRPr="004D4C57" w:rsidRDefault="003F210F" w:rsidP="004D4C57">
      <w:pPr>
        <w:pStyle w:val="NormalWeb"/>
        <w:rPr>
          <w:sz w:val="22"/>
          <w:szCs w:val="22"/>
        </w:rPr>
      </w:pPr>
      <w:r w:rsidRPr="004D4C57">
        <w:rPr>
          <w:sz w:val="22"/>
          <w:szCs w:val="22"/>
        </w:rPr>
        <w:t xml:space="preserve">(i) Approves or denies an extension of compliance; or </w:t>
      </w:r>
    </w:p>
    <w:p w:rsidR="003F210F" w:rsidRPr="004D4C57" w:rsidRDefault="003F210F" w:rsidP="004D4C57">
      <w:pPr>
        <w:pStyle w:val="NormalWeb"/>
        <w:rPr>
          <w:sz w:val="22"/>
          <w:szCs w:val="22"/>
        </w:rPr>
      </w:pPr>
      <w:r w:rsidRPr="004D4C57">
        <w:rPr>
          <w:sz w:val="22"/>
          <w:szCs w:val="22"/>
        </w:rPr>
        <w:t xml:space="preserve">(ii) </w:t>
      </w:r>
      <w:proofErr w:type="gramStart"/>
      <w:r w:rsidRPr="004D4C57">
        <w:rPr>
          <w:sz w:val="22"/>
          <w:szCs w:val="22"/>
        </w:rPr>
        <w:t>Makes a determination</w:t>
      </w:r>
      <w:proofErr w:type="gramEnd"/>
      <w:r w:rsidRPr="004D4C57">
        <w:rPr>
          <w:sz w:val="22"/>
          <w:szCs w:val="22"/>
        </w:rPr>
        <w:t xml:space="preserve"> of compliance following the submission of a required compliance status report or excess emissions and continuous monitoring systems performance report; or </w:t>
      </w:r>
    </w:p>
    <w:p w:rsidR="003F210F" w:rsidRPr="004D4C57" w:rsidRDefault="003F210F" w:rsidP="004D4C57">
      <w:pPr>
        <w:pStyle w:val="NormalWeb"/>
        <w:rPr>
          <w:sz w:val="22"/>
          <w:szCs w:val="22"/>
        </w:rPr>
      </w:pPr>
      <w:r w:rsidRPr="004D4C57">
        <w:rPr>
          <w:sz w:val="22"/>
          <w:szCs w:val="22"/>
        </w:rPr>
        <w:t xml:space="preserve">(iii) </w:t>
      </w:r>
      <w:proofErr w:type="gramStart"/>
      <w:r w:rsidRPr="004D4C57">
        <w:rPr>
          <w:sz w:val="22"/>
          <w:szCs w:val="22"/>
        </w:rPr>
        <w:t>Makes a determination</w:t>
      </w:r>
      <w:proofErr w:type="gramEnd"/>
      <w:r w:rsidRPr="004D4C57">
        <w:rPr>
          <w:sz w:val="22"/>
          <w:szCs w:val="22"/>
        </w:rPr>
        <w:t xml:space="preserve"> of suitable progress towards compliance following the submission of a compliance progress report, whichever is applicable. </w:t>
      </w:r>
    </w:p>
    <w:p w:rsidR="003F210F" w:rsidRPr="004D4C57" w:rsidRDefault="003F210F" w:rsidP="004D4C57">
      <w:pPr>
        <w:pStyle w:val="NormalWeb"/>
        <w:rPr>
          <w:sz w:val="22"/>
          <w:szCs w:val="22"/>
        </w:rPr>
      </w:pPr>
      <w:r w:rsidRPr="004D4C57">
        <w:rPr>
          <w:sz w:val="22"/>
          <w:szCs w:val="22"/>
        </w:rPr>
        <w:t xml:space="preserve">(5) A waiver of any recordkeeping or reporting requirement granted under this paragraph may be conditioned on other recordkeeping or reporting requirements deemed necessary by the Administrator. </w:t>
      </w:r>
    </w:p>
    <w:p w:rsidR="003F210F" w:rsidRPr="004D4C57" w:rsidRDefault="003F210F" w:rsidP="004D4C57">
      <w:pPr>
        <w:pStyle w:val="NormalWeb"/>
        <w:rPr>
          <w:sz w:val="22"/>
          <w:szCs w:val="22"/>
        </w:rPr>
      </w:pPr>
      <w:r w:rsidRPr="004D4C57">
        <w:rPr>
          <w:sz w:val="22"/>
          <w:szCs w:val="22"/>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3F210F" w:rsidRPr="004D4C57" w:rsidRDefault="003F210F" w:rsidP="004D4C57">
      <w:pPr>
        <w:pStyle w:val="cita"/>
        <w:rPr>
          <w:sz w:val="22"/>
          <w:szCs w:val="22"/>
        </w:rPr>
      </w:pPr>
      <w:r w:rsidRPr="004D4C57">
        <w:rPr>
          <w:sz w:val="22"/>
          <w:szCs w:val="22"/>
        </w:rPr>
        <w:t>[59 FR 12430, Mar. 16, 1994, as amended at 64 FR 7468, Feb. 12, 1999; 67 FR 16604, Apr. 5, 2002; 68 FR 32601, May 30, 2003; 69 FR 21752, Apr. 22, 2004; 71 FR 20455, Apr. 20, 2006]</w:t>
      </w:r>
    </w:p>
    <w:p w:rsidR="003F210F" w:rsidRPr="004D4C57" w:rsidRDefault="003F210F" w:rsidP="004D4C57">
      <w:pPr>
        <w:pStyle w:val="Heading2"/>
        <w:rPr>
          <w:rFonts w:ascii="Times New Roman" w:hAnsi="Times New Roman" w:cs="Times New Roman"/>
          <w:sz w:val="22"/>
          <w:szCs w:val="22"/>
        </w:rPr>
      </w:pPr>
      <w:bookmarkStart w:id="17" w:name="se40.11.63_111"/>
      <w:bookmarkEnd w:id="17"/>
      <w:r w:rsidRPr="004D4C57">
        <w:rPr>
          <w:rFonts w:ascii="Times New Roman" w:hAnsi="Times New Roman" w:cs="Times New Roman"/>
          <w:sz w:val="22"/>
          <w:szCs w:val="22"/>
        </w:rPr>
        <w:t>§63.11   Control device and work practice requirements.</w:t>
      </w:r>
    </w:p>
    <w:p w:rsidR="003F210F" w:rsidRPr="004D4C57" w:rsidRDefault="003F210F" w:rsidP="004D4C57">
      <w:pPr>
        <w:pStyle w:val="NormalWeb"/>
        <w:rPr>
          <w:sz w:val="22"/>
          <w:szCs w:val="22"/>
        </w:rPr>
      </w:pPr>
      <w:r w:rsidRPr="004D4C57">
        <w:rPr>
          <w:sz w:val="22"/>
          <w:szCs w:val="22"/>
        </w:rPr>
        <w:t xml:space="preserve">(a) </w:t>
      </w:r>
      <w:r w:rsidRPr="004D4C57">
        <w:rPr>
          <w:i/>
          <w:iCs/>
          <w:sz w:val="22"/>
          <w:szCs w:val="22"/>
        </w:rPr>
        <w:t>Applicability.</w:t>
      </w:r>
      <w:r w:rsidRPr="004D4C57">
        <w:rPr>
          <w:sz w:val="22"/>
          <w:szCs w:val="22"/>
        </w:rPr>
        <w:t xml:space="preserve"> (1) The applicability of this section is set out in §63.1(a)(4).</w:t>
      </w:r>
    </w:p>
    <w:p w:rsidR="003F210F" w:rsidRPr="004D4C57" w:rsidRDefault="003F210F" w:rsidP="004D4C57">
      <w:pPr>
        <w:pStyle w:val="NormalWeb"/>
        <w:rPr>
          <w:sz w:val="22"/>
          <w:szCs w:val="22"/>
        </w:rPr>
      </w:pPr>
      <w:r w:rsidRPr="004D4C57">
        <w:rPr>
          <w:sz w:val="22"/>
          <w:szCs w:val="22"/>
        </w:rPr>
        <w:t>(2) This section contains requirements for control devices used to comply with applicable subparts of this part. The requirements are placed here for administrative convenience and apply only to facilities covered by subparts referring to this section.</w:t>
      </w:r>
    </w:p>
    <w:p w:rsidR="003F210F" w:rsidRPr="004D4C57" w:rsidRDefault="003F210F" w:rsidP="004D4C57">
      <w:pPr>
        <w:pStyle w:val="NormalWeb"/>
        <w:rPr>
          <w:sz w:val="22"/>
          <w:szCs w:val="22"/>
        </w:rPr>
      </w:pPr>
      <w:r w:rsidRPr="004D4C57">
        <w:rPr>
          <w:sz w:val="22"/>
          <w:szCs w:val="22"/>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3F210F" w:rsidRPr="004D4C57" w:rsidRDefault="003F210F" w:rsidP="004D4C57">
      <w:pPr>
        <w:pStyle w:val="NormalWeb"/>
        <w:rPr>
          <w:sz w:val="22"/>
          <w:szCs w:val="22"/>
        </w:rPr>
      </w:pPr>
      <w:r w:rsidRPr="004D4C57">
        <w:rPr>
          <w:sz w:val="22"/>
          <w:szCs w:val="22"/>
        </w:rPr>
        <w:t xml:space="preserve">(b) </w:t>
      </w:r>
      <w:r w:rsidRPr="004D4C57">
        <w:rPr>
          <w:i/>
          <w:iCs/>
          <w:sz w:val="22"/>
          <w:szCs w:val="22"/>
        </w:rPr>
        <w:t>Flares.</w:t>
      </w:r>
      <w:r w:rsidRPr="004D4C57">
        <w:rPr>
          <w:sz w:val="22"/>
          <w:szCs w:val="22"/>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3F210F" w:rsidRPr="004D4C57" w:rsidRDefault="003F210F" w:rsidP="004D4C57">
      <w:pPr>
        <w:pStyle w:val="NormalWeb"/>
        <w:rPr>
          <w:sz w:val="22"/>
          <w:szCs w:val="22"/>
        </w:rPr>
      </w:pPr>
      <w:r w:rsidRPr="004D4C57">
        <w:rPr>
          <w:sz w:val="22"/>
          <w:szCs w:val="22"/>
        </w:rPr>
        <w:lastRenderedPageBreak/>
        <w:t xml:space="preserve">(2) Flares shall be steam-assisted, air-assisted, or non-assisted. </w:t>
      </w:r>
    </w:p>
    <w:p w:rsidR="003F210F" w:rsidRPr="004D4C57" w:rsidRDefault="003F210F" w:rsidP="004D4C57">
      <w:pPr>
        <w:pStyle w:val="NormalWeb"/>
        <w:rPr>
          <w:sz w:val="22"/>
          <w:szCs w:val="22"/>
        </w:rPr>
      </w:pPr>
      <w:r w:rsidRPr="004D4C57">
        <w:rPr>
          <w:sz w:val="22"/>
          <w:szCs w:val="22"/>
        </w:rPr>
        <w:t xml:space="preserve">(3) Flares shall be operated </w:t>
      </w:r>
      <w:proofErr w:type="gramStart"/>
      <w:r w:rsidRPr="004D4C57">
        <w:rPr>
          <w:sz w:val="22"/>
          <w:szCs w:val="22"/>
        </w:rPr>
        <w:t>at all times</w:t>
      </w:r>
      <w:proofErr w:type="gramEnd"/>
      <w:r w:rsidRPr="004D4C57">
        <w:rPr>
          <w:sz w:val="22"/>
          <w:szCs w:val="22"/>
        </w:rPr>
        <w:t xml:space="preserve"> when emissions may be vented to them. </w:t>
      </w:r>
    </w:p>
    <w:p w:rsidR="003F210F" w:rsidRPr="004D4C57" w:rsidRDefault="003F210F" w:rsidP="004D4C57">
      <w:pPr>
        <w:pStyle w:val="NormalWeb"/>
        <w:rPr>
          <w:sz w:val="22"/>
          <w:szCs w:val="22"/>
        </w:rPr>
      </w:pPr>
      <w:r w:rsidRPr="004D4C57">
        <w:rPr>
          <w:sz w:val="22"/>
          <w:szCs w:val="22"/>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3F210F" w:rsidRPr="004D4C57" w:rsidRDefault="003F210F" w:rsidP="004D4C57">
      <w:pPr>
        <w:pStyle w:val="NormalWeb"/>
        <w:rPr>
          <w:sz w:val="22"/>
          <w:szCs w:val="22"/>
        </w:rPr>
      </w:pPr>
      <w:r w:rsidRPr="004D4C57">
        <w:rPr>
          <w:sz w:val="22"/>
          <w:szCs w:val="22"/>
        </w:rPr>
        <w:t xml:space="preserve">(5) Flares shall be operated with a flame present </w:t>
      </w:r>
      <w:proofErr w:type="gramStart"/>
      <w:r w:rsidRPr="004D4C57">
        <w:rPr>
          <w:sz w:val="22"/>
          <w:szCs w:val="22"/>
        </w:rPr>
        <w:t>at all times</w:t>
      </w:r>
      <w:proofErr w:type="gramEnd"/>
      <w:r w:rsidRPr="004D4C57">
        <w:rPr>
          <w:sz w:val="22"/>
          <w:szCs w:val="22"/>
        </w:rPr>
        <w:t xml:space="preserve">. The presence of a flare pilot flame shall be monitored using a thermocouple or any other equivalent device to detect the presence of a flame. </w:t>
      </w:r>
    </w:p>
    <w:p w:rsidR="003F210F" w:rsidRPr="004D4C57" w:rsidRDefault="003F210F" w:rsidP="004D4C57">
      <w:pPr>
        <w:pStyle w:val="NormalWeb"/>
        <w:rPr>
          <w:sz w:val="22"/>
          <w:szCs w:val="22"/>
        </w:rPr>
      </w:pPr>
      <w:r w:rsidRPr="004D4C57">
        <w:rPr>
          <w:sz w:val="22"/>
          <w:szCs w:val="22"/>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3F210F" w:rsidRPr="004D4C57" w:rsidRDefault="003F210F" w:rsidP="004D4C57">
      <w:pPr>
        <w:pStyle w:val="NormalWeb"/>
        <w:rPr>
          <w:sz w:val="22"/>
          <w:szCs w:val="22"/>
        </w:rPr>
      </w:pPr>
      <w:r w:rsidRPr="004D4C57">
        <w:rPr>
          <w:sz w:val="22"/>
          <w:szCs w:val="22"/>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4D4C57">
        <w:rPr>
          <w:sz w:val="22"/>
          <w:szCs w:val="22"/>
          <w:vertAlign w:val="subscript"/>
        </w:rPr>
        <w:t>max</w:t>
      </w:r>
      <w:r w:rsidRPr="004D4C57">
        <w:rPr>
          <w:sz w:val="22"/>
          <w:szCs w:val="22"/>
        </w:rPr>
        <w:t>, as determined by the following equation:</w:t>
      </w:r>
    </w:p>
    <w:p w:rsidR="003F210F" w:rsidRPr="004D4C57" w:rsidRDefault="003F210F" w:rsidP="004D4C57">
      <w:pPr>
        <w:pStyle w:val="fp-2"/>
        <w:rPr>
          <w:sz w:val="22"/>
          <w:szCs w:val="22"/>
        </w:rPr>
      </w:pPr>
      <w:r w:rsidRPr="004D4C57">
        <w:rPr>
          <w:sz w:val="22"/>
          <w:szCs w:val="22"/>
        </w:rPr>
        <w:t>V</w:t>
      </w:r>
      <w:r w:rsidRPr="004D4C57">
        <w:rPr>
          <w:sz w:val="22"/>
          <w:szCs w:val="22"/>
          <w:vertAlign w:val="subscript"/>
        </w:rPr>
        <w:t>max</w:t>
      </w:r>
      <w:r w:rsidRPr="004D4C57">
        <w:rPr>
          <w:sz w:val="22"/>
          <w:szCs w:val="22"/>
        </w:rPr>
        <w:t xml:space="preserve"> = (X</w:t>
      </w:r>
      <w:r w:rsidRPr="004D4C57">
        <w:rPr>
          <w:sz w:val="22"/>
          <w:szCs w:val="22"/>
          <w:vertAlign w:val="subscript"/>
        </w:rPr>
        <w:t>H2</w:t>
      </w:r>
      <w:r w:rsidRPr="004D4C57">
        <w:rPr>
          <w:sz w:val="22"/>
          <w:szCs w:val="22"/>
        </w:rPr>
        <w:t>−K</w:t>
      </w:r>
      <w:proofErr w:type="gramStart"/>
      <w:r w:rsidRPr="004D4C57">
        <w:rPr>
          <w:sz w:val="22"/>
          <w:szCs w:val="22"/>
          <w:vertAlign w:val="subscript"/>
        </w:rPr>
        <w:t>1</w:t>
      </w:r>
      <w:r w:rsidRPr="004D4C57">
        <w:rPr>
          <w:sz w:val="22"/>
          <w:szCs w:val="22"/>
        </w:rPr>
        <w:t>)*</w:t>
      </w:r>
      <w:proofErr w:type="gramEnd"/>
      <w:r w:rsidRPr="004D4C57">
        <w:rPr>
          <w:sz w:val="22"/>
          <w:szCs w:val="22"/>
        </w:rPr>
        <w:t xml:space="preserve"> K</w:t>
      </w:r>
      <w:r w:rsidRPr="004D4C57">
        <w:rPr>
          <w:sz w:val="22"/>
          <w:szCs w:val="22"/>
          <w:vertAlign w:val="subscript"/>
        </w:rPr>
        <w:t>2</w:t>
      </w:r>
    </w:p>
    <w:p w:rsidR="003F210F" w:rsidRPr="004D4C57" w:rsidRDefault="003F210F" w:rsidP="004D4C57">
      <w:pPr>
        <w:pStyle w:val="fp"/>
        <w:rPr>
          <w:sz w:val="22"/>
          <w:szCs w:val="22"/>
        </w:rPr>
      </w:pPr>
      <w:r w:rsidRPr="004D4C57">
        <w:rPr>
          <w:sz w:val="22"/>
          <w:szCs w:val="22"/>
        </w:rPr>
        <w:t>Where:</w:t>
      </w:r>
    </w:p>
    <w:p w:rsidR="003F210F" w:rsidRPr="004D4C57" w:rsidRDefault="003F210F" w:rsidP="004D4C57">
      <w:pPr>
        <w:pStyle w:val="fp-2"/>
        <w:rPr>
          <w:sz w:val="22"/>
          <w:szCs w:val="22"/>
        </w:rPr>
      </w:pPr>
      <w:r w:rsidRPr="004D4C57">
        <w:rPr>
          <w:sz w:val="22"/>
          <w:szCs w:val="22"/>
        </w:rPr>
        <w:t>V</w:t>
      </w:r>
      <w:r w:rsidRPr="004D4C57">
        <w:rPr>
          <w:sz w:val="22"/>
          <w:szCs w:val="22"/>
          <w:vertAlign w:val="subscript"/>
        </w:rPr>
        <w:t>max</w:t>
      </w:r>
      <w:r w:rsidRPr="004D4C57">
        <w:rPr>
          <w:sz w:val="22"/>
          <w:szCs w:val="22"/>
        </w:rPr>
        <w:t xml:space="preserve"> = Maximum permitted velocity, m/sec.</w:t>
      </w:r>
    </w:p>
    <w:p w:rsidR="003F210F" w:rsidRPr="004D4C57" w:rsidRDefault="003F210F" w:rsidP="004D4C57">
      <w:pPr>
        <w:pStyle w:val="fp-2"/>
        <w:rPr>
          <w:sz w:val="22"/>
          <w:szCs w:val="22"/>
        </w:rPr>
      </w:pPr>
      <w:r w:rsidRPr="004D4C57">
        <w:rPr>
          <w:sz w:val="22"/>
          <w:szCs w:val="22"/>
        </w:rPr>
        <w:t>K</w:t>
      </w:r>
      <w:r w:rsidRPr="004D4C57">
        <w:rPr>
          <w:sz w:val="22"/>
          <w:szCs w:val="22"/>
          <w:vertAlign w:val="subscript"/>
        </w:rPr>
        <w:t>1</w:t>
      </w:r>
      <w:r w:rsidRPr="004D4C57">
        <w:rPr>
          <w:sz w:val="22"/>
          <w:szCs w:val="22"/>
        </w:rPr>
        <w:t xml:space="preserve"> = Constant, 6.0 volume-percent hydrogen.</w:t>
      </w:r>
    </w:p>
    <w:p w:rsidR="003F210F" w:rsidRPr="004D4C57" w:rsidRDefault="003F210F" w:rsidP="004D4C57">
      <w:pPr>
        <w:pStyle w:val="fp-2"/>
        <w:rPr>
          <w:sz w:val="22"/>
          <w:szCs w:val="22"/>
        </w:rPr>
      </w:pPr>
      <w:r w:rsidRPr="004D4C57">
        <w:rPr>
          <w:sz w:val="22"/>
          <w:szCs w:val="22"/>
        </w:rPr>
        <w:t>K</w:t>
      </w:r>
      <w:r w:rsidRPr="004D4C57">
        <w:rPr>
          <w:sz w:val="22"/>
          <w:szCs w:val="22"/>
          <w:vertAlign w:val="subscript"/>
        </w:rPr>
        <w:t>2</w:t>
      </w:r>
      <w:r w:rsidRPr="004D4C57">
        <w:rPr>
          <w:sz w:val="22"/>
          <w:szCs w:val="22"/>
        </w:rPr>
        <w:t xml:space="preserve"> = Constant, 3.9(m/sec)/volume-percent hydrogen.</w:t>
      </w:r>
    </w:p>
    <w:p w:rsidR="003F210F" w:rsidRPr="004D4C57" w:rsidRDefault="003F210F" w:rsidP="004D4C57">
      <w:pPr>
        <w:pStyle w:val="fp-2"/>
        <w:rPr>
          <w:sz w:val="22"/>
          <w:szCs w:val="22"/>
        </w:rPr>
      </w:pPr>
      <w:r w:rsidRPr="004D4C57">
        <w:rPr>
          <w:sz w:val="22"/>
          <w:szCs w:val="22"/>
        </w:rPr>
        <w:t>X</w:t>
      </w:r>
      <w:r w:rsidRPr="004D4C57">
        <w:rPr>
          <w:sz w:val="22"/>
          <w:szCs w:val="22"/>
          <w:vertAlign w:val="subscript"/>
        </w:rPr>
        <w:t>H2</w:t>
      </w:r>
      <w:r w:rsidRPr="004D4C57">
        <w:rPr>
          <w:sz w:val="22"/>
          <w:szCs w:val="22"/>
        </w:rPr>
        <w:t xml:space="preserve"> = The volume-percent of hydrogen, on a wet basis, as calculated by using the American Society for Testing and Materials (ASTM) Method D1946-77. (Incorporated by reference as specified in §63.14).</w:t>
      </w:r>
    </w:p>
    <w:p w:rsidR="003F210F" w:rsidRPr="004D4C57" w:rsidRDefault="003F210F" w:rsidP="004D4C57">
      <w:pPr>
        <w:pStyle w:val="NormalWeb"/>
        <w:rPr>
          <w:sz w:val="22"/>
          <w:szCs w:val="22"/>
        </w:rPr>
      </w:pPr>
      <w:r w:rsidRPr="004D4C57">
        <w:rPr>
          <w:sz w:val="22"/>
          <w:szCs w:val="22"/>
        </w:rPr>
        <w:t>(B) The actual exit velocity of a flare shall be determined by the method specified in paragraph (b)(7)(i) of this section.</w:t>
      </w:r>
    </w:p>
    <w:p w:rsidR="003F210F" w:rsidRPr="004D4C57" w:rsidRDefault="003F210F" w:rsidP="004D4C57">
      <w:pPr>
        <w:pStyle w:val="NormalWeb"/>
        <w:rPr>
          <w:sz w:val="22"/>
          <w:szCs w:val="22"/>
        </w:rPr>
      </w:pPr>
      <w:r w:rsidRPr="004D4C57">
        <w:rPr>
          <w:sz w:val="22"/>
          <w:szCs w:val="22"/>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3F210F" w:rsidRPr="004D4C57" w:rsidRDefault="003F210F" w:rsidP="004D4C57">
      <w:pPr>
        <w:rPr>
          <w:szCs w:val="22"/>
        </w:rPr>
      </w:pPr>
      <w:r w:rsidRPr="004D4C57">
        <w:rPr>
          <w:noProof/>
          <w:szCs w:val="22"/>
        </w:rPr>
        <w:drawing>
          <wp:inline distT="0" distB="0" distL="0" distR="0">
            <wp:extent cx="1002030" cy="429260"/>
            <wp:effectExtent l="0" t="0" r="7620" b="8890"/>
            <wp:docPr id="9" name="Picture 9"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04my98.00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2030" cy="429260"/>
                    </a:xfrm>
                    <a:prstGeom prst="rect">
                      <a:avLst/>
                    </a:prstGeom>
                    <a:noFill/>
                    <a:ln>
                      <a:noFill/>
                    </a:ln>
                  </pic:spPr>
                </pic:pic>
              </a:graphicData>
            </a:graphic>
          </wp:inline>
        </w:drawing>
      </w:r>
    </w:p>
    <w:p w:rsidR="003F210F" w:rsidRPr="004D4C57" w:rsidRDefault="003F210F" w:rsidP="004D4C57">
      <w:pPr>
        <w:pStyle w:val="fp"/>
        <w:rPr>
          <w:sz w:val="22"/>
          <w:szCs w:val="22"/>
        </w:rPr>
      </w:pPr>
      <w:r w:rsidRPr="004D4C57">
        <w:rPr>
          <w:sz w:val="22"/>
          <w:szCs w:val="22"/>
        </w:rPr>
        <w:t>Where:</w:t>
      </w:r>
    </w:p>
    <w:p w:rsidR="003F210F" w:rsidRPr="004D4C57" w:rsidRDefault="003F210F" w:rsidP="004D4C57">
      <w:pPr>
        <w:pStyle w:val="fp-2"/>
        <w:rPr>
          <w:sz w:val="22"/>
          <w:szCs w:val="22"/>
        </w:rPr>
      </w:pPr>
      <w:r w:rsidRPr="004D4C57">
        <w:rPr>
          <w:sz w:val="22"/>
          <w:szCs w:val="22"/>
        </w:rPr>
        <w:t>H</w:t>
      </w:r>
      <w:r w:rsidRPr="004D4C57">
        <w:rPr>
          <w:sz w:val="22"/>
          <w:szCs w:val="22"/>
          <w:vertAlign w:val="subscript"/>
        </w:rPr>
        <w:t>T</w:t>
      </w:r>
      <w:r w:rsidRPr="004D4C57">
        <w:rPr>
          <w:sz w:val="22"/>
          <w:szCs w:val="22"/>
        </w:rPr>
        <w:t xml:space="preserve"> = Net heating value of the sample, MJ/scm; where the net enthalpy per mole of offgas is based on combustion at 25 °C and 760 mm Hg, but the standard temperature for determining the volume corresponding to one mole is 20 °C.</w:t>
      </w:r>
    </w:p>
    <w:p w:rsidR="003F210F" w:rsidRPr="004D4C57" w:rsidRDefault="003F210F" w:rsidP="004D4C57">
      <w:pPr>
        <w:pStyle w:val="fp-2"/>
        <w:rPr>
          <w:sz w:val="22"/>
          <w:szCs w:val="22"/>
        </w:rPr>
      </w:pPr>
      <w:r w:rsidRPr="004D4C57">
        <w:rPr>
          <w:sz w:val="22"/>
          <w:szCs w:val="22"/>
        </w:rPr>
        <w:lastRenderedPageBreak/>
        <w:t>K = Constant =</w:t>
      </w:r>
    </w:p>
    <w:p w:rsidR="003F210F" w:rsidRPr="004D4C57" w:rsidRDefault="003F210F" w:rsidP="004D4C57">
      <w:pPr>
        <w:rPr>
          <w:szCs w:val="22"/>
        </w:rPr>
      </w:pPr>
      <w:r w:rsidRPr="004D4C57">
        <w:rPr>
          <w:noProof/>
          <w:szCs w:val="22"/>
        </w:rPr>
        <w:drawing>
          <wp:inline distT="0" distB="0" distL="0" distR="0">
            <wp:extent cx="2337435" cy="461010"/>
            <wp:effectExtent l="0" t="0" r="5715" b="0"/>
            <wp:docPr id="8" name="Picture 8"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04my98.005.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37435" cy="461010"/>
                    </a:xfrm>
                    <a:prstGeom prst="rect">
                      <a:avLst/>
                    </a:prstGeom>
                    <a:noFill/>
                    <a:ln>
                      <a:noFill/>
                    </a:ln>
                  </pic:spPr>
                </pic:pic>
              </a:graphicData>
            </a:graphic>
          </wp:inline>
        </w:drawing>
      </w:r>
    </w:p>
    <w:p w:rsidR="003F210F" w:rsidRPr="004D4C57" w:rsidRDefault="003F210F" w:rsidP="004D4C57">
      <w:pPr>
        <w:pStyle w:val="fp-2"/>
        <w:rPr>
          <w:sz w:val="22"/>
          <w:szCs w:val="22"/>
        </w:rPr>
      </w:pPr>
      <w:r w:rsidRPr="004D4C57">
        <w:rPr>
          <w:sz w:val="22"/>
          <w:szCs w:val="22"/>
        </w:rPr>
        <w:t>where the standard temperature for (g-mole/scm) is 20 °C.</w:t>
      </w:r>
    </w:p>
    <w:p w:rsidR="003F210F" w:rsidRPr="004D4C57" w:rsidRDefault="003F210F" w:rsidP="004D4C57">
      <w:pPr>
        <w:pStyle w:val="fp-2"/>
        <w:rPr>
          <w:sz w:val="22"/>
          <w:szCs w:val="22"/>
        </w:rPr>
      </w:pPr>
      <w:r w:rsidRPr="004D4C57">
        <w:rPr>
          <w:sz w:val="22"/>
          <w:szCs w:val="22"/>
        </w:rPr>
        <w:t>C</w:t>
      </w:r>
      <w:r w:rsidRPr="004D4C57">
        <w:rPr>
          <w:sz w:val="22"/>
          <w:szCs w:val="22"/>
          <w:vertAlign w:val="subscript"/>
        </w:rPr>
        <w:t>i</w:t>
      </w:r>
      <w:r w:rsidRPr="004D4C57">
        <w:rPr>
          <w:sz w:val="22"/>
          <w:szCs w:val="22"/>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3F210F" w:rsidRPr="004D4C57" w:rsidRDefault="003F210F" w:rsidP="004D4C57">
      <w:pPr>
        <w:pStyle w:val="fp-2"/>
        <w:rPr>
          <w:sz w:val="22"/>
          <w:szCs w:val="22"/>
        </w:rPr>
      </w:pPr>
      <w:r w:rsidRPr="004D4C57">
        <w:rPr>
          <w:sz w:val="22"/>
          <w:szCs w:val="22"/>
        </w:rPr>
        <w:t>H</w:t>
      </w:r>
      <w:r w:rsidRPr="004D4C57">
        <w:rPr>
          <w:sz w:val="22"/>
          <w:szCs w:val="22"/>
          <w:vertAlign w:val="subscript"/>
        </w:rPr>
        <w:t>i</w:t>
      </w:r>
      <w:r w:rsidRPr="004D4C57">
        <w:rPr>
          <w:sz w:val="22"/>
          <w:szCs w:val="22"/>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3F210F" w:rsidRPr="004D4C57" w:rsidRDefault="003F210F" w:rsidP="004D4C57">
      <w:pPr>
        <w:pStyle w:val="fp-2"/>
        <w:rPr>
          <w:sz w:val="22"/>
          <w:szCs w:val="22"/>
        </w:rPr>
      </w:pPr>
      <w:r w:rsidRPr="004D4C57">
        <w:rPr>
          <w:sz w:val="22"/>
          <w:szCs w:val="22"/>
        </w:rPr>
        <w:t>n = Number of sample components.</w:t>
      </w:r>
    </w:p>
    <w:p w:rsidR="003F210F" w:rsidRPr="004D4C57" w:rsidRDefault="003F210F" w:rsidP="004D4C57">
      <w:pPr>
        <w:pStyle w:val="NormalWeb"/>
        <w:rPr>
          <w:sz w:val="22"/>
          <w:szCs w:val="22"/>
        </w:rPr>
      </w:pPr>
      <w:r w:rsidRPr="004D4C57">
        <w:rPr>
          <w:sz w:val="22"/>
          <w:szCs w:val="22"/>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3F210F" w:rsidRPr="004D4C57" w:rsidRDefault="003F210F" w:rsidP="004D4C57">
      <w:pPr>
        <w:pStyle w:val="NormalWeb"/>
        <w:rPr>
          <w:sz w:val="22"/>
          <w:szCs w:val="22"/>
        </w:rPr>
      </w:pPr>
      <w:r w:rsidRPr="004D4C57">
        <w:rPr>
          <w:sz w:val="22"/>
          <w:szCs w:val="22"/>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rsidR="003F210F" w:rsidRPr="004D4C57" w:rsidRDefault="003F210F" w:rsidP="004D4C57">
      <w:pPr>
        <w:pStyle w:val="NormalWeb"/>
        <w:rPr>
          <w:sz w:val="22"/>
          <w:szCs w:val="22"/>
        </w:rPr>
      </w:pPr>
      <w:r w:rsidRPr="004D4C57">
        <w:rPr>
          <w:sz w:val="22"/>
          <w:szCs w:val="22"/>
        </w:rPr>
        <w:t>(iii) Steam-assisted and nonassisted flares designed for and operated with an exit velocity, as determined by the method specified in paragraph (b)(7)(i) of this section, less than the velocity V</w:t>
      </w:r>
      <w:r w:rsidRPr="004D4C57">
        <w:rPr>
          <w:sz w:val="22"/>
          <w:szCs w:val="22"/>
          <w:vertAlign w:val="subscript"/>
        </w:rPr>
        <w:t>max</w:t>
      </w:r>
      <w:r w:rsidRPr="004D4C57">
        <w:rPr>
          <w:sz w:val="22"/>
          <w:szCs w:val="22"/>
        </w:rPr>
        <w:t>, as determined by the method specified in this paragraph, but less than 122 m/sec (400 ft/sec) are allowed. The maximum permitted velocity, V</w:t>
      </w:r>
      <w:r w:rsidRPr="004D4C57">
        <w:rPr>
          <w:sz w:val="22"/>
          <w:szCs w:val="22"/>
          <w:vertAlign w:val="subscript"/>
        </w:rPr>
        <w:t>max</w:t>
      </w:r>
      <w:r w:rsidRPr="004D4C57">
        <w:rPr>
          <w:sz w:val="22"/>
          <w:szCs w:val="22"/>
        </w:rPr>
        <w:t>, for flares complying with this paragraph shall be determined by the following equation:</w:t>
      </w:r>
    </w:p>
    <w:p w:rsidR="003F210F" w:rsidRPr="004D4C57" w:rsidRDefault="003F210F" w:rsidP="004D4C57">
      <w:pPr>
        <w:pStyle w:val="fp-2"/>
        <w:rPr>
          <w:sz w:val="22"/>
          <w:szCs w:val="22"/>
        </w:rPr>
      </w:pPr>
      <w:r w:rsidRPr="004D4C57">
        <w:rPr>
          <w:sz w:val="22"/>
          <w:szCs w:val="22"/>
        </w:rPr>
        <w:t>Log</w:t>
      </w:r>
      <w:r w:rsidRPr="004D4C57">
        <w:rPr>
          <w:sz w:val="22"/>
          <w:szCs w:val="22"/>
          <w:vertAlign w:val="subscript"/>
        </w:rPr>
        <w:t>10</w:t>
      </w:r>
      <w:r w:rsidRPr="004D4C57">
        <w:rPr>
          <w:sz w:val="22"/>
          <w:szCs w:val="22"/>
        </w:rPr>
        <w:t>(V</w:t>
      </w:r>
      <w:r w:rsidRPr="004D4C57">
        <w:rPr>
          <w:sz w:val="22"/>
          <w:szCs w:val="22"/>
          <w:vertAlign w:val="subscript"/>
        </w:rPr>
        <w:t>max</w:t>
      </w:r>
      <w:r w:rsidRPr="004D4C57">
        <w:rPr>
          <w:sz w:val="22"/>
          <w:szCs w:val="22"/>
        </w:rPr>
        <w:t>) = (H</w:t>
      </w:r>
      <w:r w:rsidRPr="004D4C57">
        <w:rPr>
          <w:sz w:val="22"/>
          <w:szCs w:val="22"/>
          <w:vertAlign w:val="subscript"/>
        </w:rPr>
        <w:t>T</w:t>
      </w:r>
      <w:r w:rsidRPr="004D4C57">
        <w:rPr>
          <w:sz w:val="22"/>
          <w:szCs w:val="22"/>
        </w:rPr>
        <w:t xml:space="preserve"> + 28.8)/31.7</w:t>
      </w:r>
    </w:p>
    <w:p w:rsidR="003F210F" w:rsidRPr="004D4C57" w:rsidRDefault="003F210F" w:rsidP="004D4C57">
      <w:pPr>
        <w:pStyle w:val="fp"/>
        <w:rPr>
          <w:sz w:val="22"/>
          <w:szCs w:val="22"/>
        </w:rPr>
      </w:pPr>
      <w:r w:rsidRPr="004D4C57">
        <w:rPr>
          <w:sz w:val="22"/>
          <w:szCs w:val="22"/>
        </w:rPr>
        <w:t xml:space="preserve">Where: </w:t>
      </w:r>
    </w:p>
    <w:p w:rsidR="003F210F" w:rsidRPr="004D4C57" w:rsidRDefault="003F210F" w:rsidP="004D4C57">
      <w:pPr>
        <w:pStyle w:val="fp-2"/>
        <w:rPr>
          <w:sz w:val="22"/>
          <w:szCs w:val="22"/>
        </w:rPr>
      </w:pPr>
      <w:r w:rsidRPr="004D4C57">
        <w:rPr>
          <w:sz w:val="22"/>
          <w:szCs w:val="22"/>
        </w:rPr>
        <w:t>V</w:t>
      </w:r>
      <w:r w:rsidRPr="004D4C57">
        <w:rPr>
          <w:sz w:val="22"/>
          <w:szCs w:val="22"/>
          <w:vertAlign w:val="subscript"/>
        </w:rPr>
        <w:t>max</w:t>
      </w:r>
      <w:r w:rsidRPr="004D4C57">
        <w:rPr>
          <w:sz w:val="22"/>
          <w:szCs w:val="22"/>
        </w:rPr>
        <w:t xml:space="preserve"> = Maximum permitted velocity, m/sec. </w:t>
      </w:r>
    </w:p>
    <w:p w:rsidR="003F210F" w:rsidRPr="004D4C57" w:rsidRDefault="003F210F" w:rsidP="004D4C57">
      <w:pPr>
        <w:pStyle w:val="fp-2"/>
        <w:rPr>
          <w:sz w:val="22"/>
          <w:szCs w:val="22"/>
        </w:rPr>
      </w:pPr>
      <w:r w:rsidRPr="004D4C57">
        <w:rPr>
          <w:sz w:val="22"/>
          <w:szCs w:val="22"/>
        </w:rPr>
        <w:t xml:space="preserve">28.8 = Constant. </w:t>
      </w:r>
    </w:p>
    <w:p w:rsidR="003F210F" w:rsidRPr="004D4C57" w:rsidRDefault="003F210F" w:rsidP="004D4C57">
      <w:pPr>
        <w:pStyle w:val="fp-2"/>
        <w:rPr>
          <w:sz w:val="22"/>
          <w:szCs w:val="22"/>
        </w:rPr>
      </w:pPr>
      <w:r w:rsidRPr="004D4C57">
        <w:rPr>
          <w:sz w:val="22"/>
          <w:szCs w:val="22"/>
        </w:rPr>
        <w:t xml:space="preserve">31.7 = Constant. </w:t>
      </w:r>
    </w:p>
    <w:p w:rsidR="003F210F" w:rsidRPr="004D4C57" w:rsidRDefault="003F210F" w:rsidP="004D4C57">
      <w:pPr>
        <w:pStyle w:val="fp-2"/>
        <w:rPr>
          <w:sz w:val="22"/>
          <w:szCs w:val="22"/>
        </w:rPr>
      </w:pPr>
      <w:r w:rsidRPr="004D4C57">
        <w:rPr>
          <w:sz w:val="22"/>
          <w:szCs w:val="22"/>
        </w:rPr>
        <w:t>H</w:t>
      </w:r>
      <w:r w:rsidRPr="004D4C57">
        <w:rPr>
          <w:sz w:val="22"/>
          <w:szCs w:val="22"/>
          <w:vertAlign w:val="subscript"/>
        </w:rPr>
        <w:t>T</w:t>
      </w:r>
      <w:r w:rsidRPr="004D4C57">
        <w:rPr>
          <w:sz w:val="22"/>
          <w:szCs w:val="22"/>
        </w:rPr>
        <w:t xml:space="preserve"> = The net heating value as determined in paragraph (b)(6) of this section.</w:t>
      </w:r>
    </w:p>
    <w:p w:rsidR="003F210F" w:rsidRPr="004D4C57" w:rsidRDefault="003F210F" w:rsidP="004D4C57">
      <w:pPr>
        <w:pStyle w:val="NormalWeb"/>
        <w:rPr>
          <w:sz w:val="22"/>
          <w:szCs w:val="22"/>
        </w:rPr>
      </w:pPr>
      <w:r w:rsidRPr="004D4C57">
        <w:rPr>
          <w:sz w:val="22"/>
          <w:szCs w:val="22"/>
        </w:rPr>
        <w:t>(8) Air-assisted flares shall be designed and operated with an exit velocity less than the velocity V</w:t>
      </w:r>
      <w:r w:rsidRPr="004D4C57">
        <w:rPr>
          <w:sz w:val="22"/>
          <w:szCs w:val="22"/>
          <w:vertAlign w:val="subscript"/>
        </w:rPr>
        <w:t>max</w:t>
      </w:r>
      <w:r w:rsidRPr="004D4C57">
        <w:rPr>
          <w:sz w:val="22"/>
          <w:szCs w:val="22"/>
        </w:rPr>
        <w:t>. The maximum permitted velocity, V</w:t>
      </w:r>
      <w:r w:rsidRPr="004D4C57">
        <w:rPr>
          <w:sz w:val="22"/>
          <w:szCs w:val="22"/>
          <w:vertAlign w:val="subscript"/>
        </w:rPr>
        <w:t>max</w:t>
      </w:r>
      <w:r w:rsidRPr="004D4C57">
        <w:rPr>
          <w:sz w:val="22"/>
          <w:szCs w:val="22"/>
        </w:rPr>
        <w:t>, for air-assisted flares shall be determined by the following equation:</w:t>
      </w:r>
    </w:p>
    <w:p w:rsidR="003F210F" w:rsidRPr="004D4C57" w:rsidRDefault="003F210F" w:rsidP="004D4C57">
      <w:pPr>
        <w:pStyle w:val="fp-2"/>
        <w:rPr>
          <w:sz w:val="22"/>
          <w:szCs w:val="22"/>
        </w:rPr>
      </w:pPr>
      <w:r w:rsidRPr="004D4C57">
        <w:rPr>
          <w:sz w:val="22"/>
          <w:szCs w:val="22"/>
        </w:rPr>
        <w:t>V</w:t>
      </w:r>
      <w:r w:rsidRPr="004D4C57">
        <w:rPr>
          <w:sz w:val="22"/>
          <w:szCs w:val="22"/>
          <w:vertAlign w:val="subscript"/>
        </w:rPr>
        <w:t>max</w:t>
      </w:r>
      <w:r w:rsidRPr="004D4C57">
        <w:rPr>
          <w:sz w:val="22"/>
          <w:szCs w:val="22"/>
        </w:rPr>
        <w:t xml:space="preserve"> = 8.71 + 0.708(H</w:t>
      </w:r>
      <w:r w:rsidRPr="004D4C57">
        <w:rPr>
          <w:sz w:val="22"/>
          <w:szCs w:val="22"/>
          <w:vertAlign w:val="subscript"/>
        </w:rPr>
        <w:t>T</w:t>
      </w:r>
      <w:r w:rsidRPr="004D4C57">
        <w:rPr>
          <w:sz w:val="22"/>
          <w:szCs w:val="22"/>
        </w:rPr>
        <w:t>)</w:t>
      </w:r>
    </w:p>
    <w:p w:rsidR="003F210F" w:rsidRPr="004D4C57" w:rsidRDefault="003F210F" w:rsidP="004D4C57">
      <w:pPr>
        <w:pStyle w:val="fp"/>
        <w:rPr>
          <w:sz w:val="22"/>
          <w:szCs w:val="22"/>
        </w:rPr>
      </w:pPr>
      <w:r w:rsidRPr="004D4C57">
        <w:rPr>
          <w:sz w:val="22"/>
          <w:szCs w:val="22"/>
        </w:rPr>
        <w:t>Where:</w:t>
      </w:r>
    </w:p>
    <w:p w:rsidR="003F210F" w:rsidRPr="004D4C57" w:rsidRDefault="003F210F" w:rsidP="004D4C57">
      <w:pPr>
        <w:pStyle w:val="fp-2"/>
        <w:rPr>
          <w:sz w:val="22"/>
          <w:szCs w:val="22"/>
        </w:rPr>
      </w:pPr>
      <w:r w:rsidRPr="004D4C57">
        <w:rPr>
          <w:sz w:val="22"/>
          <w:szCs w:val="22"/>
        </w:rPr>
        <w:lastRenderedPageBreak/>
        <w:t>V</w:t>
      </w:r>
      <w:r w:rsidRPr="004D4C57">
        <w:rPr>
          <w:sz w:val="22"/>
          <w:szCs w:val="22"/>
          <w:vertAlign w:val="subscript"/>
        </w:rPr>
        <w:t>max</w:t>
      </w:r>
      <w:r w:rsidRPr="004D4C57">
        <w:rPr>
          <w:sz w:val="22"/>
          <w:szCs w:val="22"/>
        </w:rPr>
        <w:t xml:space="preserve"> = Maximum permitted velocity, m/sec.</w:t>
      </w:r>
    </w:p>
    <w:p w:rsidR="003F210F" w:rsidRPr="004D4C57" w:rsidRDefault="003F210F" w:rsidP="004D4C57">
      <w:pPr>
        <w:pStyle w:val="fp-2"/>
        <w:rPr>
          <w:sz w:val="22"/>
          <w:szCs w:val="22"/>
        </w:rPr>
      </w:pPr>
      <w:r w:rsidRPr="004D4C57">
        <w:rPr>
          <w:sz w:val="22"/>
          <w:szCs w:val="22"/>
        </w:rPr>
        <w:t>8.71 = Constant.</w:t>
      </w:r>
    </w:p>
    <w:p w:rsidR="003F210F" w:rsidRPr="004D4C57" w:rsidRDefault="003F210F" w:rsidP="004D4C57">
      <w:pPr>
        <w:pStyle w:val="fp-2"/>
        <w:rPr>
          <w:sz w:val="22"/>
          <w:szCs w:val="22"/>
        </w:rPr>
      </w:pPr>
      <w:r w:rsidRPr="004D4C57">
        <w:rPr>
          <w:sz w:val="22"/>
          <w:szCs w:val="22"/>
        </w:rPr>
        <w:t>0.708 = Constant.</w:t>
      </w:r>
    </w:p>
    <w:p w:rsidR="003F210F" w:rsidRPr="004D4C57" w:rsidRDefault="003F210F" w:rsidP="004D4C57">
      <w:pPr>
        <w:pStyle w:val="fp-2"/>
        <w:rPr>
          <w:sz w:val="22"/>
          <w:szCs w:val="22"/>
        </w:rPr>
      </w:pPr>
      <w:r w:rsidRPr="004D4C57">
        <w:rPr>
          <w:sz w:val="22"/>
          <w:szCs w:val="22"/>
        </w:rPr>
        <w:t>H</w:t>
      </w:r>
      <w:r w:rsidRPr="004D4C57">
        <w:rPr>
          <w:sz w:val="22"/>
          <w:szCs w:val="22"/>
          <w:vertAlign w:val="subscript"/>
        </w:rPr>
        <w:t>T</w:t>
      </w:r>
      <w:r w:rsidRPr="004D4C57">
        <w:rPr>
          <w:sz w:val="22"/>
          <w:szCs w:val="22"/>
        </w:rPr>
        <w:t xml:space="preserve"> = The net heating value as determined in paragraph (b)(6)(ii) of this section.</w:t>
      </w:r>
    </w:p>
    <w:p w:rsidR="003F210F" w:rsidRPr="004D4C57" w:rsidRDefault="003F210F" w:rsidP="004D4C57">
      <w:pPr>
        <w:pStyle w:val="NormalWeb"/>
        <w:rPr>
          <w:sz w:val="22"/>
          <w:szCs w:val="22"/>
        </w:rPr>
      </w:pPr>
      <w:r w:rsidRPr="004D4C57">
        <w:rPr>
          <w:sz w:val="22"/>
          <w:szCs w:val="22"/>
        </w:rPr>
        <w:t xml:space="preserve">(c) </w:t>
      </w:r>
      <w:r w:rsidRPr="004D4C57">
        <w:rPr>
          <w:i/>
          <w:iCs/>
          <w:sz w:val="22"/>
          <w:szCs w:val="22"/>
        </w:rPr>
        <w:t>Alternative work practice for monitoring equipment for leaks.</w:t>
      </w:r>
      <w:r w:rsidRPr="004D4C57">
        <w:rPr>
          <w:sz w:val="22"/>
          <w:szCs w:val="22"/>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3F210F" w:rsidRPr="004D4C57" w:rsidRDefault="003F210F" w:rsidP="004D4C57">
      <w:pPr>
        <w:pStyle w:val="NormalWeb"/>
        <w:rPr>
          <w:sz w:val="22"/>
          <w:szCs w:val="22"/>
        </w:rPr>
      </w:pPr>
      <w:r w:rsidRPr="004D4C57">
        <w:rPr>
          <w:sz w:val="22"/>
          <w:szCs w:val="22"/>
        </w:rPr>
        <w:t xml:space="preserve">(1) </w:t>
      </w:r>
      <w:r w:rsidRPr="004D4C57">
        <w:rPr>
          <w:i/>
          <w:iCs/>
          <w:sz w:val="22"/>
          <w:szCs w:val="22"/>
        </w:rPr>
        <w:t>Applicable subpart</w:t>
      </w:r>
      <w:r w:rsidRPr="004D4C57">
        <w:rPr>
          <w:sz w:val="22"/>
          <w:szCs w:val="22"/>
        </w:rPr>
        <w:t xml:space="preserve"> means the subpart in 40 CFR parts 60, 61, 63, and 65 that requires monitoring of equipment with a 40 CFR part 60, appendix A-7, Method 21 monitor.</w:t>
      </w:r>
    </w:p>
    <w:p w:rsidR="003F210F" w:rsidRPr="004D4C57" w:rsidRDefault="003F210F" w:rsidP="004D4C57">
      <w:pPr>
        <w:pStyle w:val="NormalWeb"/>
        <w:rPr>
          <w:sz w:val="22"/>
          <w:szCs w:val="22"/>
        </w:rPr>
      </w:pPr>
      <w:r w:rsidRPr="004D4C57">
        <w:rPr>
          <w:sz w:val="22"/>
          <w:szCs w:val="22"/>
        </w:rPr>
        <w:t xml:space="preserve">(2) </w:t>
      </w:r>
      <w:r w:rsidRPr="004D4C57">
        <w:rPr>
          <w:i/>
          <w:iCs/>
          <w:sz w:val="22"/>
          <w:szCs w:val="22"/>
        </w:rPr>
        <w:t>Equipment</w:t>
      </w:r>
      <w:r w:rsidRPr="004D4C57">
        <w:rPr>
          <w:sz w:val="22"/>
          <w:szCs w:val="22"/>
        </w:rPr>
        <w:t xml:space="preserve"> means pumps, valves, pressure relief valves, compressors, open-ended lines, flanges, connectors, and other equipment covered by the applicable subpart that require monitoring with a 40 CFR part 60, appendix A-7, Method 21 monitor.</w:t>
      </w:r>
    </w:p>
    <w:p w:rsidR="003F210F" w:rsidRPr="004D4C57" w:rsidRDefault="003F210F" w:rsidP="004D4C57">
      <w:pPr>
        <w:pStyle w:val="NormalWeb"/>
        <w:rPr>
          <w:sz w:val="22"/>
          <w:szCs w:val="22"/>
        </w:rPr>
      </w:pPr>
      <w:r w:rsidRPr="004D4C57">
        <w:rPr>
          <w:sz w:val="22"/>
          <w:szCs w:val="22"/>
        </w:rPr>
        <w:t xml:space="preserve">(3) </w:t>
      </w:r>
      <w:r w:rsidRPr="004D4C57">
        <w:rPr>
          <w:i/>
          <w:iCs/>
          <w:sz w:val="22"/>
          <w:szCs w:val="22"/>
        </w:rPr>
        <w:t>Imaging</w:t>
      </w:r>
      <w:r w:rsidRPr="004D4C57">
        <w:rPr>
          <w:sz w:val="22"/>
          <w:szCs w:val="22"/>
        </w:rPr>
        <w:t xml:space="preserve"> means making visible emissions that may otherwise be invisible to the naked eye.</w:t>
      </w:r>
    </w:p>
    <w:p w:rsidR="003F210F" w:rsidRPr="004D4C57" w:rsidRDefault="003F210F" w:rsidP="004D4C57">
      <w:pPr>
        <w:pStyle w:val="NormalWeb"/>
        <w:rPr>
          <w:sz w:val="22"/>
          <w:szCs w:val="22"/>
        </w:rPr>
      </w:pPr>
      <w:r w:rsidRPr="004D4C57">
        <w:rPr>
          <w:sz w:val="22"/>
          <w:szCs w:val="22"/>
        </w:rPr>
        <w:t xml:space="preserve">(4) </w:t>
      </w:r>
      <w:r w:rsidRPr="004D4C57">
        <w:rPr>
          <w:i/>
          <w:iCs/>
          <w:sz w:val="22"/>
          <w:szCs w:val="22"/>
        </w:rPr>
        <w:t>Optical gas imaging instrument</w:t>
      </w:r>
      <w:r w:rsidRPr="004D4C57">
        <w:rPr>
          <w:sz w:val="22"/>
          <w:szCs w:val="22"/>
        </w:rPr>
        <w:t xml:space="preserve"> means an instrument that makes visible emissions that may otherwise be invisible to the naked eye.</w:t>
      </w:r>
    </w:p>
    <w:p w:rsidR="003F210F" w:rsidRPr="004D4C57" w:rsidRDefault="003F210F" w:rsidP="004D4C57">
      <w:pPr>
        <w:pStyle w:val="NormalWeb"/>
        <w:rPr>
          <w:sz w:val="22"/>
          <w:szCs w:val="22"/>
        </w:rPr>
      </w:pPr>
      <w:r w:rsidRPr="004D4C57">
        <w:rPr>
          <w:sz w:val="22"/>
          <w:szCs w:val="22"/>
        </w:rPr>
        <w:t xml:space="preserve">(5) </w:t>
      </w:r>
      <w:r w:rsidRPr="004D4C57">
        <w:rPr>
          <w:i/>
          <w:iCs/>
          <w:sz w:val="22"/>
          <w:szCs w:val="22"/>
        </w:rPr>
        <w:t>Repair</w:t>
      </w:r>
      <w:r w:rsidRPr="004D4C57">
        <w:rPr>
          <w:sz w:val="22"/>
          <w:szCs w:val="22"/>
        </w:rPr>
        <w:t xml:space="preserve"> means that equipment is adjusted, or otherwise altered, </w:t>
      </w:r>
      <w:proofErr w:type="gramStart"/>
      <w:r w:rsidRPr="004D4C57">
        <w:rPr>
          <w:sz w:val="22"/>
          <w:szCs w:val="22"/>
        </w:rPr>
        <w:t>in order to</w:t>
      </w:r>
      <w:proofErr w:type="gramEnd"/>
      <w:r w:rsidRPr="004D4C57">
        <w:rPr>
          <w:sz w:val="22"/>
          <w:szCs w:val="22"/>
        </w:rPr>
        <w:t xml:space="preserve"> eliminate a leak.</w:t>
      </w:r>
    </w:p>
    <w:p w:rsidR="003F210F" w:rsidRPr="004D4C57" w:rsidRDefault="003F210F" w:rsidP="004D4C57">
      <w:pPr>
        <w:pStyle w:val="NormalWeb"/>
        <w:rPr>
          <w:sz w:val="22"/>
          <w:szCs w:val="22"/>
        </w:rPr>
      </w:pPr>
      <w:r w:rsidRPr="004D4C57">
        <w:rPr>
          <w:sz w:val="22"/>
          <w:szCs w:val="22"/>
        </w:rPr>
        <w:t xml:space="preserve">(6) </w:t>
      </w:r>
      <w:r w:rsidRPr="004D4C57">
        <w:rPr>
          <w:i/>
          <w:iCs/>
          <w:sz w:val="22"/>
          <w:szCs w:val="22"/>
        </w:rPr>
        <w:t>Leak</w:t>
      </w:r>
      <w:r w:rsidRPr="004D4C57">
        <w:rPr>
          <w:sz w:val="22"/>
          <w:szCs w:val="22"/>
        </w:rPr>
        <w:t xml:space="preserve"> means:</w:t>
      </w:r>
    </w:p>
    <w:p w:rsidR="003F210F" w:rsidRPr="004D4C57" w:rsidRDefault="003F210F" w:rsidP="004D4C57">
      <w:pPr>
        <w:pStyle w:val="NormalWeb"/>
        <w:rPr>
          <w:sz w:val="22"/>
          <w:szCs w:val="22"/>
        </w:rPr>
      </w:pPr>
      <w:r w:rsidRPr="004D4C57">
        <w:rPr>
          <w:sz w:val="22"/>
          <w:szCs w:val="22"/>
        </w:rPr>
        <w:t>(i) Any emissions imaged by the optical gas instrument;</w:t>
      </w:r>
    </w:p>
    <w:p w:rsidR="003F210F" w:rsidRPr="004D4C57" w:rsidRDefault="003F210F" w:rsidP="004D4C57">
      <w:pPr>
        <w:pStyle w:val="NormalWeb"/>
        <w:rPr>
          <w:sz w:val="22"/>
          <w:szCs w:val="22"/>
        </w:rPr>
      </w:pPr>
      <w:r w:rsidRPr="004D4C57">
        <w:rPr>
          <w:sz w:val="22"/>
          <w:szCs w:val="22"/>
        </w:rPr>
        <w:t>(ii) Indications of liquids dripping;</w:t>
      </w:r>
    </w:p>
    <w:p w:rsidR="003F210F" w:rsidRPr="004D4C57" w:rsidRDefault="003F210F" w:rsidP="004D4C57">
      <w:pPr>
        <w:pStyle w:val="NormalWeb"/>
        <w:rPr>
          <w:sz w:val="22"/>
          <w:szCs w:val="22"/>
        </w:rPr>
      </w:pPr>
      <w:r w:rsidRPr="004D4C57">
        <w:rPr>
          <w:sz w:val="22"/>
          <w:szCs w:val="22"/>
        </w:rPr>
        <w:t>(iii) Indications by a sensor that a seal or barrier fluid system has failed; or</w:t>
      </w:r>
    </w:p>
    <w:p w:rsidR="003F210F" w:rsidRPr="004D4C57" w:rsidRDefault="003F210F" w:rsidP="004D4C57">
      <w:pPr>
        <w:pStyle w:val="NormalWeb"/>
        <w:rPr>
          <w:sz w:val="22"/>
          <w:szCs w:val="22"/>
        </w:rPr>
      </w:pPr>
      <w:r w:rsidRPr="004D4C57">
        <w:rPr>
          <w:sz w:val="22"/>
          <w:szCs w:val="22"/>
        </w:rPr>
        <w:t>(iv) Screening results using a 40 CFR part 60, appendix A-7, Method 21 monitor that exceed the leak definition in the applicable subpart to which the equipment is subject.</w:t>
      </w:r>
    </w:p>
    <w:p w:rsidR="003F210F" w:rsidRPr="004D4C57" w:rsidRDefault="003F210F" w:rsidP="004D4C57">
      <w:pPr>
        <w:pStyle w:val="NormalWeb"/>
        <w:rPr>
          <w:sz w:val="22"/>
          <w:szCs w:val="22"/>
        </w:rPr>
      </w:pPr>
      <w:r w:rsidRPr="004D4C57">
        <w:rPr>
          <w:sz w:val="22"/>
          <w:szCs w:val="22"/>
        </w:rPr>
        <w:t>(d) The alternative work practice standard for monitoring equipment for leaks is available to all subparts in 40 CFR parts 60, 61, 63, and 65 that require monitoring of equipment with a 40 CFR part 60, appendix A-7, Method 21 monitor.</w:t>
      </w:r>
    </w:p>
    <w:p w:rsidR="003F210F" w:rsidRPr="004D4C57" w:rsidRDefault="003F210F" w:rsidP="004D4C57">
      <w:pPr>
        <w:pStyle w:val="NormalWeb"/>
        <w:rPr>
          <w:sz w:val="22"/>
          <w:szCs w:val="22"/>
        </w:rPr>
      </w:pPr>
      <w:r w:rsidRPr="004D4C57">
        <w:rPr>
          <w:sz w:val="22"/>
          <w:szCs w:val="22"/>
        </w:rPr>
        <w:lastRenderedPageBreak/>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3F210F" w:rsidRPr="004D4C57" w:rsidRDefault="003F210F" w:rsidP="004D4C57">
      <w:pPr>
        <w:pStyle w:val="NormalWeb"/>
        <w:rPr>
          <w:sz w:val="22"/>
          <w:szCs w:val="22"/>
        </w:rPr>
      </w:pPr>
      <w:r w:rsidRPr="004D4C57">
        <w:rPr>
          <w:sz w:val="22"/>
          <w:szCs w:val="22"/>
        </w:rPr>
        <w:t>(2) Any leak detected when following the leak survey procedure in paragraph (e)(3) of this section must be identified for repair as required in the applicable subpart.</w:t>
      </w:r>
    </w:p>
    <w:p w:rsidR="003F210F" w:rsidRPr="004D4C57" w:rsidRDefault="003F210F" w:rsidP="004D4C57">
      <w:pPr>
        <w:pStyle w:val="NormalWeb"/>
        <w:rPr>
          <w:sz w:val="22"/>
          <w:szCs w:val="22"/>
        </w:rPr>
      </w:pPr>
      <w:r w:rsidRPr="004D4C57">
        <w:rPr>
          <w:sz w:val="22"/>
          <w:szCs w:val="22"/>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3F210F" w:rsidRPr="004D4C57" w:rsidRDefault="003F210F" w:rsidP="004D4C57">
      <w:pPr>
        <w:pStyle w:val="NormalWeb"/>
        <w:rPr>
          <w:sz w:val="22"/>
          <w:szCs w:val="22"/>
        </w:rPr>
      </w:pPr>
      <w:r w:rsidRPr="004D4C57">
        <w:rPr>
          <w:sz w:val="22"/>
          <w:szCs w:val="22"/>
        </w:rPr>
        <w:t>(4) The schedule for repair is as required in the applicable subpart.</w:t>
      </w:r>
    </w:p>
    <w:p w:rsidR="003F210F" w:rsidRPr="004D4C57" w:rsidRDefault="003F210F" w:rsidP="004D4C57">
      <w:pPr>
        <w:pStyle w:val="NormalWeb"/>
        <w:rPr>
          <w:sz w:val="22"/>
          <w:szCs w:val="22"/>
        </w:rPr>
      </w:pPr>
      <w:r w:rsidRPr="004D4C57">
        <w:rPr>
          <w:sz w:val="22"/>
          <w:szCs w:val="22"/>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3F210F" w:rsidRPr="004D4C57" w:rsidRDefault="003F210F" w:rsidP="004D4C57">
      <w:pPr>
        <w:pStyle w:val="NormalWeb"/>
        <w:rPr>
          <w:sz w:val="22"/>
          <w:szCs w:val="22"/>
        </w:rPr>
      </w:pPr>
      <w:r w:rsidRPr="004D4C57">
        <w:rPr>
          <w:sz w:val="22"/>
          <w:szCs w:val="22"/>
        </w:rPr>
        <w:t>(6) When this alternative work practice is used for detecting leaking equipment, the following are not applicable for the equipment being monitored:</w:t>
      </w:r>
    </w:p>
    <w:p w:rsidR="003F210F" w:rsidRPr="004D4C57" w:rsidRDefault="003F210F" w:rsidP="004D4C57">
      <w:pPr>
        <w:pStyle w:val="NormalWeb"/>
        <w:rPr>
          <w:sz w:val="22"/>
          <w:szCs w:val="22"/>
        </w:rPr>
      </w:pPr>
      <w:r w:rsidRPr="004D4C57">
        <w:rPr>
          <w:sz w:val="22"/>
          <w:szCs w:val="22"/>
        </w:rPr>
        <w:t>(i) Skip period leak detection and repair;</w:t>
      </w:r>
    </w:p>
    <w:p w:rsidR="003F210F" w:rsidRPr="004D4C57" w:rsidRDefault="003F210F" w:rsidP="004D4C57">
      <w:pPr>
        <w:pStyle w:val="NormalWeb"/>
        <w:rPr>
          <w:sz w:val="22"/>
          <w:szCs w:val="22"/>
        </w:rPr>
      </w:pPr>
      <w:r w:rsidRPr="004D4C57">
        <w:rPr>
          <w:sz w:val="22"/>
          <w:szCs w:val="22"/>
        </w:rPr>
        <w:t>(ii) Quality improvement plans; or</w:t>
      </w:r>
    </w:p>
    <w:p w:rsidR="003F210F" w:rsidRPr="004D4C57" w:rsidRDefault="003F210F" w:rsidP="004D4C57">
      <w:pPr>
        <w:pStyle w:val="NormalWeb"/>
        <w:rPr>
          <w:sz w:val="22"/>
          <w:szCs w:val="22"/>
        </w:rPr>
      </w:pPr>
      <w:r w:rsidRPr="004D4C57">
        <w:rPr>
          <w:sz w:val="22"/>
          <w:szCs w:val="22"/>
        </w:rPr>
        <w:t>(iii) Complying with standards for allowable percentage of valves and pumps to leak.</w:t>
      </w:r>
    </w:p>
    <w:p w:rsidR="003F210F" w:rsidRPr="004D4C57" w:rsidRDefault="003F210F" w:rsidP="004D4C57">
      <w:pPr>
        <w:pStyle w:val="NormalWeb"/>
        <w:rPr>
          <w:sz w:val="22"/>
          <w:szCs w:val="22"/>
        </w:rPr>
      </w:pPr>
      <w:r w:rsidRPr="004D4C57">
        <w:rPr>
          <w:sz w:val="22"/>
          <w:szCs w:val="22"/>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3F210F" w:rsidRPr="004D4C57" w:rsidRDefault="003F210F" w:rsidP="004D4C57">
      <w:pPr>
        <w:pStyle w:val="NormalWeb"/>
        <w:rPr>
          <w:sz w:val="22"/>
          <w:szCs w:val="22"/>
        </w:rPr>
      </w:pPr>
      <w:r w:rsidRPr="004D4C57">
        <w:rPr>
          <w:sz w:val="22"/>
          <w:szCs w:val="22"/>
        </w:rPr>
        <w:t>(e) An owner or operator of an affected source who chooses to use the alternative work practice must comply with the requirements of paragraphs (e)(1) through (e)(5) of this section.</w:t>
      </w:r>
    </w:p>
    <w:p w:rsidR="003F210F" w:rsidRPr="004D4C57" w:rsidRDefault="003F210F" w:rsidP="004D4C57">
      <w:pPr>
        <w:pStyle w:val="NormalWeb"/>
        <w:rPr>
          <w:sz w:val="22"/>
          <w:szCs w:val="22"/>
        </w:rPr>
      </w:pPr>
      <w:r w:rsidRPr="004D4C57">
        <w:rPr>
          <w:sz w:val="22"/>
          <w:szCs w:val="22"/>
        </w:rPr>
        <w:t xml:space="preserve">(1) </w:t>
      </w:r>
      <w:r w:rsidRPr="004D4C57">
        <w:rPr>
          <w:i/>
          <w:iCs/>
          <w:sz w:val="22"/>
          <w:szCs w:val="22"/>
        </w:rPr>
        <w:t>Instrument specifications.</w:t>
      </w:r>
      <w:r w:rsidRPr="004D4C57">
        <w:rPr>
          <w:sz w:val="22"/>
          <w:szCs w:val="22"/>
        </w:rPr>
        <w:t xml:space="preserve"> The optical gas imaging instrument must comply with the requirements specified in paragraphs (e)(1)(i) and (e)(1)(ii) of this section.</w:t>
      </w:r>
    </w:p>
    <w:p w:rsidR="003F210F" w:rsidRPr="004D4C57" w:rsidRDefault="003F210F" w:rsidP="004D4C57">
      <w:pPr>
        <w:pStyle w:val="NormalWeb"/>
        <w:rPr>
          <w:sz w:val="22"/>
          <w:szCs w:val="22"/>
        </w:rPr>
      </w:pPr>
      <w:r w:rsidRPr="004D4C57">
        <w:rPr>
          <w:sz w:val="22"/>
          <w:szCs w:val="22"/>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3F210F" w:rsidRPr="004D4C57" w:rsidRDefault="003F210F" w:rsidP="004D4C57">
      <w:pPr>
        <w:pStyle w:val="NormalWeb"/>
        <w:rPr>
          <w:sz w:val="22"/>
          <w:szCs w:val="22"/>
        </w:rPr>
      </w:pPr>
      <w:r w:rsidRPr="004D4C57">
        <w:rPr>
          <w:sz w:val="22"/>
          <w:szCs w:val="22"/>
        </w:rPr>
        <w:t>(ii) Provide a date and time stamp for video records of every monitoring event.</w:t>
      </w:r>
    </w:p>
    <w:p w:rsidR="003F210F" w:rsidRPr="004D4C57" w:rsidRDefault="003F210F" w:rsidP="004D4C57">
      <w:pPr>
        <w:pStyle w:val="NormalWeb"/>
        <w:rPr>
          <w:sz w:val="22"/>
          <w:szCs w:val="22"/>
        </w:rPr>
      </w:pPr>
      <w:r w:rsidRPr="004D4C57">
        <w:rPr>
          <w:sz w:val="22"/>
          <w:szCs w:val="22"/>
        </w:rPr>
        <w:lastRenderedPageBreak/>
        <w:t xml:space="preserve">(2) </w:t>
      </w:r>
      <w:r w:rsidRPr="004D4C57">
        <w:rPr>
          <w:i/>
          <w:iCs/>
          <w:sz w:val="22"/>
          <w:szCs w:val="22"/>
        </w:rPr>
        <w:t>Daily instrument check.</w:t>
      </w:r>
      <w:r w:rsidRPr="004D4C57">
        <w:rPr>
          <w:sz w:val="22"/>
          <w:szCs w:val="22"/>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3F210F" w:rsidRPr="004D4C57" w:rsidRDefault="003F210F" w:rsidP="004D4C57">
      <w:pPr>
        <w:pStyle w:val="NormalWeb"/>
        <w:rPr>
          <w:sz w:val="22"/>
          <w:szCs w:val="22"/>
        </w:rPr>
      </w:pPr>
      <w:r w:rsidRPr="004D4C57">
        <w:rPr>
          <w:sz w:val="22"/>
          <w:szCs w:val="22"/>
        </w:rPr>
        <w:t>(i) Calculate the mass flow rate to be used in the daily instrument check by following the procedures in paragraphs (e)(2)(i)(A) and (e)(2)(i)(B) of this section.</w:t>
      </w:r>
    </w:p>
    <w:p w:rsidR="003F210F" w:rsidRPr="004D4C57" w:rsidRDefault="003F210F" w:rsidP="004D4C57">
      <w:pPr>
        <w:pStyle w:val="NormalWeb"/>
        <w:rPr>
          <w:sz w:val="22"/>
          <w:szCs w:val="22"/>
        </w:rPr>
      </w:pPr>
      <w:r w:rsidRPr="004D4C57">
        <w:rPr>
          <w:sz w:val="22"/>
          <w:szCs w:val="22"/>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3F210F" w:rsidRPr="004D4C57" w:rsidRDefault="003F210F" w:rsidP="004D4C57">
      <w:pPr>
        <w:pStyle w:val="NormalWeb"/>
        <w:rPr>
          <w:sz w:val="22"/>
          <w:szCs w:val="22"/>
        </w:rPr>
      </w:pPr>
      <w:r w:rsidRPr="004D4C57">
        <w:rPr>
          <w:sz w:val="22"/>
          <w:szCs w:val="22"/>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3F210F" w:rsidRPr="004D4C57" w:rsidRDefault="003F210F" w:rsidP="004D4C57">
      <w:pPr>
        <w:rPr>
          <w:szCs w:val="22"/>
        </w:rPr>
      </w:pPr>
      <w:r w:rsidRPr="004D4C57">
        <w:rPr>
          <w:noProof/>
          <w:szCs w:val="22"/>
        </w:rPr>
        <w:drawing>
          <wp:inline distT="0" distB="0" distL="0" distR="0">
            <wp:extent cx="819150" cy="341630"/>
            <wp:effectExtent l="0" t="0" r="0" b="1270"/>
            <wp:docPr id="7" name="Picture 7"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22de08.008.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19150" cy="341630"/>
                    </a:xfrm>
                    <a:prstGeom prst="rect">
                      <a:avLst/>
                    </a:prstGeom>
                    <a:noFill/>
                    <a:ln>
                      <a:noFill/>
                    </a:ln>
                  </pic:spPr>
                </pic:pic>
              </a:graphicData>
            </a:graphic>
          </wp:inline>
        </w:drawing>
      </w:r>
    </w:p>
    <w:p w:rsidR="003F210F" w:rsidRPr="004D4C57" w:rsidRDefault="003F210F" w:rsidP="004D4C57">
      <w:pPr>
        <w:pStyle w:val="fp"/>
        <w:rPr>
          <w:sz w:val="22"/>
          <w:szCs w:val="22"/>
        </w:rPr>
      </w:pPr>
      <w:r w:rsidRPr="004D4C57">
        <w:rPr>
          <w:sz w:val="22"/>
          <w:szCs w:val="22"/>
        </w:rPr>
        <w:t>Where:</w:t>
      </w:r>
    </w:p>
    <w:p w:rsidR="003F210F" w:rsidRPr="004D4C57" w:rsidRDefault="003F210F" w:rsidP="004D4C57">
      <w:pPr>
        <w:pStyle w:val="fp-2"/>
        <w:rPr>
          <w:sz w:val="22"/>
          <w:szCs w:val="22"/>
        </w:rPr>
      </w:pPr>
      <w:r w:rsidRPr="004D4C57">
        <w:rPr>
          <w:sz w:val="22"/>
          <w:szCs w:val="22"/>
        </w:rPr>
        <w:t>E</w:t>
      </w:r>
      <w:r w:rsidRPr="004D4C57">
        <w:rPr>
          <w:sz w:val="22"/>
          <w:szCs w:val="22"/>
          <w:vertAlign w:val="subscript"/>
        </w:rPr>
        <w:t>dic</w:t>
      </w:r>
      <w:r w:rsidRPr="004D4C57">
        <w:rPr>
          <w:sz w:val="22"/>
          <w:szCs w:val="22"/>
        </w:rPr>
        <w:t xml:space="preserve"> = Mass flow rate for the daily instrument check, grams per hour </w:t>
      </w:r>
    </w:p>
    <w:p w:rsidR="003F210F" w:rsidRPr="004D4C57" w:rsidRDefault="003F210F" w:rsidP="004D4C57">
      <w:pPr>
        <w:pStyle w:val="fp-2"/>
        <w:rPr>
          <w:sz w:val="22"/>
          <w:szCs w:val="22"/>
        </w:rPr>
      </w:pPr>
      <w:r w:rsidRPr="004D4C57">
        <w:rPr>
          <w:sz w:val="22"/>
          <w:szCs w:val="22"/>
        </w:rPr>
        <w:t>x</w:t>
      </w:r>
      <w:r w:rsidRPr="004D4C57">
        <w:rPr>
          <w:sz w:val="22"/>
          <w:szCs w:val="22"/>
          <w:vertAlign w:val="subscript"/>
        </w:rPr>
        <w:t>i</w:t>
      </w:r>
      <w:r w:rsidRPr="004D4C57">
        <w:rPr>
          <w:sz w:val="22"/>
          <w:szCs w:val="22"/>
        </w:rPr>
        <w:t xml:space="preserve"> = Mass fraction of detectable chemical(s) i seen by the optical gas imaging instrument, within the distance to be used in paragraph (e)(2)(iv)(B) of this section, at or below the standard detection sensitivity level, E</w:t>
      </w:r>
      <w:r w:rsidRPr="004D4C57">
        <w:rPr>
          <w:sz w:val="22"/>
          <w:szCs w:val="22"/>
          <w:vertAlign w:val="subscript"/>
        </w:rPr>
        <w:t>sds</w:t>
      </w:r>
      <w:r w:rsidRPr="004D4C57">
        <w:rPr>
          <w:sz w:val="22"/>
          <w:szCs w:val="22"/>
        </w:rPr>
        <w:t>.</w:t>
      </w:r>
    </w:p>
    <w:p w:rsidR="003F210F" w:rsidRPr="004D4C57" w:rsidRDefault="003F210F" w:rsidP="004D4C57">
      <w:pPr>
        <w:pStyle w:val="fp-2"/>
        <w:rPr>
          <w:sz w:val="22"/>
          <w:szCs w:val="22"/>
        </w:rPr>
      </w:pPr>
      <w:r w:rsidRPr="004D4C57">
        <w:rPr>
          <w:sz w:val="22"/>
          <w:szCs w:val="22"/>
        </w:rPr>
        <w:t>E</w:t>
      </w:r>
      <w:r w:rsidRPr="004D4C57">
        <w:rPr>
          <w:sz w:val="22"/>
          <w:szCs w:val="22"/>
          <w:vertAlign w:val="subscript"/>
        </w:rPr>
        <w:t>sds</w:t>
      </w:r>
      <w:r w:rsidRPr="004D4C57">
        <w:rPr>
          <w:sz w:val="22"/>
          <w:szCs w:val="22"/>
        </w:rPr>
        <w:t xml:space="preserve"> = Standard detection sensitivity level from Table 1 to subpart A, grams per hour </w:t>
      </w:r>
    </w:p>
    <w:p w:rsidR="003F210F" w:rsidRPr="004D4C57" w:rsidRDefault="003F210F" w:rsidP="004D4C57">
      <w:pPr>
        <w:pStyle w:val="fp-2"/>
        <w:rPr>
          <w:sz w:val="22"/>
          <w:szCs w:val="22"/>
        </w:rPr>
      </w:pPr>
      <w:r w:rsidRPr="004D4C57">
        <w:rPr>
          <w:sz w:val="22"/>
          <w:szCs w:val="22"/>
        </w:rPr>
        <w:t>k = Total number of detectable chemicals emitted from the leaking equipment and seen by the optical gas imaging instrument.</w:t>
      </w:r>
    </w:p>
    <w:p w:rsidR="003F210F" w:rsidRPr="004D4C57" w:rsidRDefault="003F210F" w:rsidP="004D4C57">
      <w:pPr>
        <w:pStyle w:val="NormalWeb"/>
        <w:rPr>
          <w:sz w:val="22"/>
          <w:szCs w:val="22"/>
        </w:rPr>
      </w:pPr>
      <w:r w:rsidRPr="004D4C57">
        <w:rPr>
          <w:sz w:val="22"/>
          <w:szCs w:val="22"/>
        </w:rPr>
        <w:t>(ii) Start the optical gas imaging instrument according to the manufacturer's instructions, ensuring that all appropriate settings conform to the manufacturer's instructions.</w:t>
      </w:r>
    </w:p>
    <w:p w:rsidR="003F210F" w:rsidRPr="004D4C57" w:rsidRDefault="003F210F" w:rsidP="004D4C57">
      <w:pPr>
        <w:pStyle w:val="NormalWeb"/>
        <w:rPr>
          <w:sz w:val="22"/>
          <w:szCs w:val="22"/>
        </w:rPr>
      </w:pPr>
      <w:r w:rsidRPr="004D4C57">
        <w:rPr>
          <w:sz w:val="22"/>
          <w:szCs w:val="22"/>
        </w:rPr>
        <w:t>(iii) Use any gas chosen by the user that can be viewed by the optical gas imaging instrument and that has a purity of no less than 98 percent.</w:t>
      </w:r>
    </w:p>
    <w:p w:rsidR="003F210F" w:rsidRPr="004D4C57" w:rsidRDefault="003F210F" w:rsidP="004D4C57">
      <w:pPr>
        <w:pStyle w:val="NormalWeb"/>
        <w:rPr>
          <w:sz w:val="22"/>
          <w:szCs w:val="22"/>
        </w:rPr>
      </w:pPr>
      <w:r w:rsidRPr="004D4C57">
        <w:rPr>
          <w:sz w:val="22"/>
          <w:szCs w:val="22"/>
        </w:rPr>
        <w:t>(iv) Establish a mass flow rate by using the following procedures:</w:t>
      </w:r>
    </w:p>
    <w:p w:rsidR="003F210F" w:rsidRPr="004D4C57" w:rsidRDefault="003F210F" w:rsidP="004D4C57">
      <w:pPr>
        <w:pStyle w:val="NormalWeb"/>
        <w:rPr>
          <w:sz w:val="22"/>
          <w:szCs w:val="22"/>
        </w:rPr>
      </w:pPr>
      <w:r w:rsidRPr="004D4C57">
        <w:rPr>
          <w:sz w:val="22"/>
          <w:szCs w:val="22"/>
        </w:rPr>
        <w:t>(A) Provide a source of gas where it will be in the field of view of the optical gas imaging instrument.</w:t>
      </w:r>
    </w:p>
    <w:p w:rsidR="003F210F" w:rsidRPr="004D4C57" w:rsidRDefault="003F210F" w:rsidP="004D4C57">
      <w:pPr>
        <w:pStyle w:val="NormalWeb"/>
        <w:rPr>
          <w:sz w:val="22"/>
          <w:szCs w:val="22"/>
        </w:rPr>
      </w:pPr>
      <w:r w:rsidRPr="004D4C57">
        <w:rPr>
          <w:sz w:val="22"/>
          <w:szCs w:val="22"/>
        </w:rPr>
        <w:t>(B) Set up the optical gas imaging instrument at a recorded distance from the outlet or leak orifice of the flow meter that will not be exceeded in the actual performance of the leak survey. Do not exceed the operating parameters of the flow meter.</w:t>
      </w:r>
    </w:p>
    <w:p w:rsidR="003F210F" w:rsidRPr="004D4C57" w:rsidRDefault="003F210F" w:rsidP="004D4C57">
      <w:pPr>
        <w:pStyle w:val="NormalWeb"/>
        <w:rPr>
          <w:sz w:val="22"/>
          <w:szCs w:val="22"/>
        </w:rPr>
      </w:pPr>
      <w:r w:rsidRPr="004D4C57">
        <w:rPr>
          <w:sz w:val="22"/>
          <w:szCs w:val="22"/>
        </w:rPr>
        <w:t xml:space="preserve">(C) Open the valve on the flow meter to set a flow rate that will create a mass emission rate equal to the mass rate calculated in paragraph (e)(2)(i) of this section while observing the gas flow through the optical gas </w:t>
      </w:r>
      <w:r w:rsidRPr="004D4C57">
        <w:rPr>
          <w:sz w:val="22"/>
          <w:szCs w:val="22"/>
        </w:rPr>
        <w:lastRenderedPageBreak/>
        <w:t>imaging instrument viewfinder. When an image of the gas emission is seen through the viewfinder at the required emission rate, make a record of the reading on the flow meter.</w:t>
      </w:r>
    </w:p>
    <w:p w:rsidR="003F210F" w:rsidRPr="004D4C57" w:rsidRDefault="003F210F" w:rsidP="004D4C57">
      <w:pPr>
        <w:pStyle w:val="NormalWeb"/>
        <w:rPr>
          <w:sz w:val="22"/>
          <w:szCs w:val="22"/>
        </w:rPr>
      </w:pPr>
      <w:r w:rsidRPr="004D4C57">
        <w:rPr>
          <w:sz w:val="22"/>
          <w:szCs w:val="22"/>
        </w:rPr>
        <w:t>(v) Repeat the procedures specified in paragraphs (e)(2)(ii) through (e)(2)(iv) of this section for each configuration of the optical gas imaging instrument used during the leak survey.</w:t>
      </w:r>
    </w:p>
    <w:p w:rsidR="003F210F" w:rsidRPr="004D4C57" w:rsidRDefault="003F210F" w:rsidP="004D4C57">
      <w:pPr>
        <w:pStyle w:val="NormalWeb"/>
        <w:rPr>
          <w:sz w:val="22"/>
          <w:szCs w:val="22"/>
        </w:rPr>
      </w:pPr>
      <w:r w:rsidRPr="004D4C57">
        <w:rPr>
          <w:sz w:val="22"/>
          <w:szCs w:val="22"/>
        </w:rPr>
        <w:t>(vi) To use an alternative method to demonstrate daily instrument checks, apply to the Administrator for approval of the alternative under §63.177 or §63.178, whichever is applicable.</w:t>
      </w:r>
    </w:p>
    <w:p w:rsidR="003F210F" w:rsidRPr="004D4C57" w:rsidRDefault="003F210F" w:rsidP="004D4C57">
      <w:pPr>
        <w:pStyle w:val="NormalWeb"/>
        <w:rPr>
          <w:sz w:val="22"/>
          <w:szCs w:val="22"/>
        </w:rPr>
      </w:pPr>
      <w:r w:rsidRPr="004D4C57">
        <w:rPr>
          <w:sz w:val="22"/>
          <w:szCs w:val="22"/>
        </w:rPr>
        <w:t xml:space="preserve">(3) </w:t>
      </w:r>
      <w:r w:rsidRPr="004D4C57">
        <w:rPr>
          <w:i/>
          <w:iCs/>
          <w:sz w:val="22"/>
          <w:szCs w:val="22"/>
        </w:rPr>
        <w:t>Leak survey procedure.</w:t>
      </w:r>
      <w:r w:rsidRPr="004D4C57">
        <w:rPr>
          <w:sz w:val="22"/>
          <w:szCs w:val="22"/>
        </w:rPr>
        <w:t xml:space="preserve"> Operate the optical gas imaging instrument to image every regulated piece of equipment selected for this work practice in accordance with the instrument manufacturer's operating parameters. All emissions imaged by the optical gas imaging instrument </w:t>
      </w:r>
      <w:proofErr w:type="gramStart"/>
      <w:r w:rsidRPr="004D4C57">
        <w:rPr>
          <w:sz w:val="22"/>
          <w:szCs w:val="22"/>
        </w:rPr>
        <w:t>are considered to be</w:t>
      </w:r>
      <w:proofErr w:type="gramEnd"/>
      <w:r w:rsidRPr="004D4C57">
        <w:rPr>
          <w:sz w:val="22"/>
          <w:szCs w:val="22"/>
        </w:rPr>
        <w:t xml:space="preserve"> leaks and are subject to repair. All emissions visible to the naked eye are also considered to be leaks and are subject to repair.</w:t>
      </w:r>
    </w:p>
    <w:p w:rsidR="003F210F" w:rsidRPr="004D4C57" w:rsidRDefault="003F210F" w:rsidP="004D4C57">
      <w:pPr>
        <w:pStyle w:val="NormalWeb"/>
        <w:rPr>
          <w:sz w:val="22"/>
          <w:szCs w:val="22"/>
        </w:rPr>
      </w:pPr>
      <w:r w:rsidRPr="004D4C57">
        <w:rPr>
          <w:sz w:val="22"/>
          <w:szCs w:val="22"/>
        </w:rPr>
        <w:t xml:space="preserve">(4) </w:t>
      </w:r>
      <w:r w:rsidRPr="004D4C57">
        <w:rPr>
          <w:i/>
          <w:iCs/>
          <w:sz w:val="22"/>
          <w:szCs w:val="22"/>
        </w:rPr>
        <w:t>Recordkeeping.</w:t>
      </w:r>
      <w:r w:rsidRPr="004D4C57">
        <w:rPr>
          <w:sz w:val="22"/>
          <w:szCs w:val="22"/>
        </w:rPr>
        <w:t xml:space="preserve"> Keep the records described in paragraphs (e)(4)(i) through (e)(4)(vii) of this section:</w:t>
      </w:r>
    </w:p>
    <w:p w:rsidR="003F210F" w:rsidRPr="004D4C57" w:rsidRDefault="003F210F" w:rsidP="004D4C57">
      <w:pPr>
        <w:pStyle w:val="NormalWeb"/>
        <w:rPr>
          <w:sz w:val="22"/>
          <w:szCs w:val="22"/>
        </w:rPr>
      </w:pPr>
      <w:r w:rsidRPr="004D4C57">
        <w:rPr>
          <w:sz w:val="22"/>
          <w:szCs w:val="22"/>
        </w:rPr>
        <w:t>(i) The equipment, processes, and facilities for which the owner or operator chooses to use the alternative work practice.</w:t>
      </w:r>
    </w:p>
    <w:p w:rsidR="003F210F" w:rsidRPr="004D4C57" w:rsidRDefault="003F210F" w:rsidP="004D4C57">
      <w:pPr>
        <w:pStyle w:val="NormalWeb"/>
        <w:rPr>
          <w:sz w:val="22"/>
          <w:szCs w:val="22"/>
        </w:rPr>
      </w:pPr>
      <w:r w:rsidRPr="004D4C57">
        <w:rPr>
          <w:sz w:val="22"/>
          <w:szCs w:val="22"/>
        </w:rPr>
        <w:t>(ii) The detection sensitivity level selected from Table 1 to subpart A of this part for the optical gas imaging instrument.</w:t>
      </w:r>
    </w:p>
    <w:p w:rsidR="003F210F" w:rsidRPr="004D4C57" w:rsidRDefault="003F210F" w:rsidP="004D4C57">
      <w:pPr>
        <w:pStyle w:val="NormalWeb"/>
        <w:rPr>
          <w:sz w:val="22"/>
          <w:szCs w:val="22"/>
        </w:rPr>
      </w:pPr>
      <w:r w:rsidRPr="004D4C57">
        <w:rPr>
          <w:sz w:val="22"/>
          <w:szCs w:val="22"/>
        </w:rPr>
        <w:t>(iii) The analysis to determine the piece of equipment in contact with the lowest mass fraction of chemicals that are detectable, as specified in paragraph (e)(2)(i)(A) of this section.</w:t>
      </w:r>
    </w:p>
    <w:p w:rsidR="003F210F" w:rsidRPr="004D4C57" w:rsidRDefault="003F210F" w:rsidP="004D4C57">
      <w:pPr>
        <w:pStyle w:val="NormalWeb"/>
        <w:rPr>
          <w:sz w:val="22"/>
          <w:szCs w:val="22"/>
        </w:rPr>
      </w:pPr>
      <w:r w:rsidRPr="004D4C57">
        <w:rPr>
          <w:sz w:val="22"/>
          <w:szCs w:val="22"/>
        </w:rPr>
        <w:t>(iv) The technical basis for the mass fraction of detectable chemicals used in the equation in paragraph (e)(2)(i)(B) of this section.</w:t>
      </w:r>
    </w:p>
    <w:p w:rsidR="003F210F" w:rsidRPr="004D4C57" w:rsidRDefault="003F210F" w:rsidP="004D4C57">
      <w:pPr>
        <w:pStyle w:val="NormalWeb"/>
        <w:rPr>
          <w:sz w:val="22"/>
          <w:szCs w:val="22"/>
        </w:rPr>
      </w:pPr>
      <w:r w:rsidRPr="004D4C57">
        <w:rPr>
          <w:sz w:val="22"/>
          <w:szCs w:val="22"/>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3F210F" w:rsidRPr="004D4C57" w:rsidRDefault="003F210F" w:rsidP="004D4C57">
      <w:pPr>
        <w:pStyle w:val="NormalWeb"/>
        <w:rPr>
          <w:sz w:val="22"/>
          <w:szCs w:val="22"/>
        </w:rPr>
      </w:pPr>
      <w:r w:rsidRPr="004D4C57">
        <w:rPr>
          <w:sz w:val="22"/>
          <w:szCs w:val="22"/>
        </w:rPr>
        <w:t xml:space="preserve">(vi) </w:t>
      </w:r>
      <w:r w:rsidRPr="004D4C57">
        <w:rPr>
          <w:i/>
          <w:iCs/>
          <w:sz w:val="22"/>
          <w:szCs w:val="22"/>
        </w:rPr>
        <w:t>Recordkeeping requirements in the applicable subpart.</w:t>
      </w:r>
      <w:r w:rsidRPr="004D4C57">
        <w:rPr>
          <w:sz w:val="22"/>
          <w:szCs w:val="22"/>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3F210F" w:rsidRPr="004D4C57" w:rsidRDefault="003F210F" w:rsidP="004D4C57">
      <w:pPr>
        <w:pStyle w:val="NormalWeb"/>
        <w:rPr>
          <w:sz w:val="22"/>
          <w:szCs w:val="22"/>
        </w:rPr>
      </w:pPr>
      <w:r w:rsidRPr="004D4C57">
        <w:rPr>
          <w:sz w:val="22"/>
          <w:szCs w:val="22"/>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3F210F" w:rsidRPr="004D4C57" w:rsidRDefault="003F210F" w:rsidP="004D4C57">
      <w:pPr>
        <w:pStyle w:val="NormalWeb"/>
        <w:rPr>
          <w:sz w:val="22"/>
          <w:szCs w:val="22"/>
        </w:rPr>
      </w:pPr>
      <w:r w:rsidRPr="004D4C57">
        <w:rPr>
          <w:sz w:val="22"/>
          <w:szCs w:val="22"/>
        </w:rPr>
        <w:t xml:space="preserve">(5) </w:t>
      </w:r>
      <w:r w:rsidRPr="004D4C57">
        <w:rPr>
          <w:i/>
          <w:iCs/>
          <w:sz w:val="22"/>
          <w:szCs w:val="22"/>
        </w:rPr>
        <w:t>Reporting.</w:t>
      </w:r>
      <w:r w:rsidRPr="004D4C57">
        <w:rPr>
          <w:sz w:val="22"/>
          <w:szCs w:val="22"/>
        </w:rPr>
        <w:t xml:space="preserve"> Submit the reports required in the applicable subpart. Submit the records of the annual Method 21 screening required in paragraph (h)(7) of this section to the Administrator via e-mail to </w:t>
      </w:r>
      <w:r w:rsidRPr="004D4C57">
        <w:rPr>
          <w:i/>
          <w:iCs/>
          <w:sz w:val="22"/>
          <w:szCs w:val="22"/>
        </w:rPr>
        <w:t>CCG-AWP@EPA.GOV.</w:t>
      </w:r>
    </w:p>
    <w:p w:rsidR="003F210F" w:rsidRPr="004D4C57" w:rsidRDefault="003F210F" w:rsidP="004D4C57">
      <w:pPr>
        <w:pStyle w:val="cita"/>
        <w:rPr>
          <w:sz w:val="22"/>
          <w:szCs w:val="22"/>
        </w:rPr>
      </w:pPr>
      <w:r w:rsidRPr="004D4C57">
        <w:rPr>
          <w:sz w:val="22"/>
          <w:szCs w:val="22"/>
        </w:rPr>
        <w:lastRenderedPageBreak/>
        <w:t>[59 FR 12430, Mar. 16, 1994, as amended at 63 FR 24444, May 4, 1998; 65 FR 62215, Oct. 17, 2000; 67 FR 16605, Apr. 5, 2002; 73 FR 78211, Dec. 22, 2008]</w:t>
      </w:r>
    </w:p>
    <w:p w:rsidR="003F210F" w:rsidRPr="004D4C57" w:rsidRDefault="003F210F" w:rsidP="004D4C57">
      <w:pPr>
        <w:pStyle w:val="Heading2"/>
        <w:rPr>
          <w:rFonts w:ascii="Times New Roman" w:hAnsi="Times New Roman" w:cs="Times New Roman"/>
          <w:sz w:val="22"/>
          <w:szCs w:val="22"/>
        </w:rPr>
      </w:pPr>
      <w:bookmarkStart w:id="18" w:name="se40.11.63_112"/>
      <w:bookmarkEnd w:id="18"/>
      <w:r w:rsidRPr="004D4C57">
        <w:rPr>
          <w:rFonts w:ascii="Times New Roman" w:hAnsi="Times New Roman" w:cs="Times New Roman"/>
          <w:sz w:val="22"/>
          <w:szCs w:val="22"/>
        </w:rPr>
        <w:t>§63.12   State authority and delegations.</w:t>
      </w:r>
    </w:p>
    <w:p w:rsidR="003F210F" w:rsidRPr="004D4C57" w:rsidRDefault="003F210F" w:rsidP="004D4C57">
      <w:pPr>
        <w:pStyle w:val="NormalWeb"/>
        <w:rPr>
          <w:sz w:val="22"/>
          <w:szCs w:val="22"/>
        </w:rPr>
      </w:pPr>
      <w:r w:rsidRPr="004D4C57">
        <w:rPr>
          <w:sz w:val="22"/>
          <w:szCs w:val="22"/>
        </w:rPr>
        <w:t>(a) The provisions of this part shall not be construed in any manner to preclude any State or political subdivision thereof from—</w:t>
      </w:r>
    </w:p>
    <w:p w:rsidR="003F210F" w:rsidRPr="004D4C57" w:rsidRDefault="003F210F" w:rsidP="004D4C57">
      <w:pPr>
        <w:pStyle w:val="NormalWeb"/>
        <w:rPr>
          <w:sz w:val="22"/>
          <w:szCs w:val="22"/>
        </w:rPr>
      </w:pPr>
      <w:r w:rsidRPr="004D4C57">
        <w:rPr>
          <w:sz w:val="22"/>
          <w:szCs w:val="22"/>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3F210F" w:rsidRPr="004D4C57" w:rsidRDefault="003F210F" w:rsidP="004D4C57">
      <w:pPr>
        <w:pStyle w:val="NormalWeb"/>
        <w:rPr>
          <w:sz w:val="22"/>
          <w:szCs w:val="22"/>
        </w:rPr>
      </w:pPr>
      <w:r w:rsidRPr="004D4C57">
        <w:rPr>
          <w:sz w:val="22"/>
          <w:szCs w:val="22"/>
        </w:rPr>
        <w:t xml:space="preserve">(2) Requiring the owner or operator of an affected source to obtain permits, licenses, or approvals prior to initiating construction, reconstruction, modification, or operation of such source; or </w:t>
      </w:r>
    </w:p>
    <w:p w:rsidR="003F210F" w:rsidRPr="004D4C57" w:rsidRDefault="003F210F" w:rsidP="004D4C57">
      <w:pPr>
        <w:pStyle w:val="NormalWeb"/>
        <w:rPr>
          <w:sz w:val="22"/>
          <w:szCs w:val="22"/>
        </w:rPr>
      </w:pPr>
      <w:r w:rsidRPr="004D4C57">
        <w:rPr>
          <w:sz w:val="22"/>
          <w:szCs w:val="22"/>
        </w:rPr>
        <w:t xml:space="preserve">(3) Requiring emission reductions </w:t>
      </w:r>
      <w:proofErr w:type="gramStart"/>
      <w:r w:rsidRPr="004D4C57">
        <w:rPr>
          <w:sz w:val="22"/>
          <w:szCs w:val="22"/>
        </w:rPr>
        <w:t>in excess of</w:t>
      </w:r>
      <w:proofErr w:type="gramEnd"/>
      <w:r w:rsidRPr="004D4C57">
        <w:rPr>
          <w:sz w:val="22"/>
          <w:szCs w:val="22"/>
        </w:rPr>
        <w:t xml:space="preserve"> those specified in subpart D of this part as a condition for granting the extension of compliance authorized by section 112(i)(5) of the Act. </w:t>
      </w:r>
    </w:p>
    <w:p w:rsidR="003F210F" w:rsidRPr="004D4C57" w:rsidRDefault="003F210F" w:rsidP="004D4C57">
      <w:pPr>
        <w:pStyle w:val="NormalWeb"/>
        <w:rPr>
          <w:sz w:val="22"/>
          <w:szCs w:val="22"/>
        </w:rPr>
      </w:pPr>
      <w:r w:rsidRPr="004D4C57">
        <w:rPr>
          <w:sz w:val="22"/>
          <w:szCs w:val="22"/>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3F210F" w:rsidRPr="004D4C57" w:rsidRDefault="003F210F" w:rsidP="004D4C57">
      <w:pPr>
        <w:pStyle w:val="NormalWeb"/>
        <w:rPr>
          <w:sz w:val="22"/>
          <w:szCs w:val="22"/>
        </w:rPr>
      </w:pPr>
      <w:r w:rsidRPr="004D4C57">
        <w:rPr>
          <w:sz w:val="22"/>
          <w:szCs w:val="22"/>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3F210F" w:rsidRPr="004D4C57" w:rsidRDefault="003F210F" w:rsidP="004D4C57">
      <w:pPr>
        <w:pStyle w:val="NormalWeb"/>
        <w:rPr>
          <w:sz w:val="22"/>
          <w:szCs w:val="22"/>
        </w:rPr>
      </w:pPr>
      <w:r w:rsidRPr="004D4C57">
        <w:rPr>
          <w:sz w:val="22"/>
          <w:szCs w:val="22"/>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3F210F" w:rsidRPr="004D4C57" w:rsidRDefault="003F210F" w:rsidP="004D4C57">
      <w:pPr>
        <w:pStyle w:val="Heading2"/>
        <w:rPr>
          <w:rFonts w:ascii="Times New Roman" w:hAnsi="Times New Roman" w:cs="Times New Roman"/>
          <w:sz w:val="22"/>
          <w:szCs w:val="22"/>
        </w:rPr>
      </w:pPr>
      <w:bookmarkStart w:id="19" w:name="se40.11.63_113"/>
      <w:bookmarkEnd w:id="19"/>
      <w:r w:rsidRPr="004D4C57">
        <w:rPr>
          <w:rFonts w:ascii="Times New Roman" w:hAnsi="Times New Roman" w:cs="Times New Roman"/>
          <w:sz w:val="22"/>
          <w:szCs w:val="22"/>
        </w:rPr>
        <w:t>§63.13   Addresses of State air pollution control agencies and EPA Regional Offices.</w:t>
      </w:r>
    </w:p>
    <w:p w:rsidR="003F210F" w:rsidRPr="004D4C57" w:rsidRDefault="003F210F" w:rsidP="004D4C57">
      <w:pPr>
        <w:pStyle w:val="NormalWeb"/>
        <w:rPr>
          <w:sz w:val="22"/>
          <w:szCs w:val="22"/>
        </w:rPr>
      </w:pPr>
      <w:r w:rsidRPr="004D4C57">
        <w:rPr>
          <w:sz w:val="22"/>
          <w:szCs w:val="22"/>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3F210F" w:rsidRPr="004D4C57" w:rsidRDefault="003F210F" w:rsidP="004D4C57">
      <w:pPr>
        <w:pStyle w:val="fp-1"/>
        <w:rPr>
          <w:sz w:val="22"/>
          <w:szCs w:val="22"/>
        </w:rPr>
      </w:pPr>
      <w:r w:rsidRPr="004D4C57">
        <w:rPr>
          <w:sz w:val="22"/>
          <w:szCs w:val="22"/>
        </w:rPr>
        <w:t>EPA Region I (Connecticut, Maine, Massachusetts, New Hampshire, Rhode Island, Vermont), Director, Office of Ecosystem Protection, 5 Post Office Square—Suite 100, Boston, MA 02109-3912.</w:t>
      </w:r>
    </w:p>
    <w:p w:rsidR="003F210F" w:rsidRPr="004D4C57" w:rsidRDefault="003F210F" w:rsidP="004D4C57">
      <w:pPr>
        <w:pStyle w:val="fp-1"/>
        <w:rPr>
          <w:sz w:val="22"/>
          <w:szCs w:val="22"/>
        </w:rPr>
      </w:pPr>
      <w:r w:rsidRPr="004D4C57">
        <w:rPr>
          <w:sz w:val="22"/>
          <w:szCs w:val="22"/>
        </w:rPr>
        <w:t xml:space="preserve">EPA Region II (New Jersey, New York, Puerto Rico, Virgin Islands), Director, Air and Waste Management Division, 26 Federal Plaza, New York, NY 10278. </w:t>
      </w:r>
    </w:p>
    <w:p w:rsidR="003F210F" w:rsidRPr="004D4C57" w:rsidRDefault="003F210F" w:rsidP="004D4C57">
      <w:pPr>
        <w:pStyle w:val="fp-1"/>
        <w:rPr>
          <w:sz w:val="22"/>
          <w:szCs w:val="22"/>
        </w:rPr>
      </w:pPr>
      <w:r w:rsidRPr="004D4C57">
        <w:rPr>
          <w:sz w:val="22"/>
          <w:szCs w:val="22"/>
        </w:rPr>
        <w:t>EPA Region III (Delaware, District of Columbia, Maryland, Pennsylvania, Virginia, West Virginia), Director, Air Protection Division, 1650 Arch Street, Philadelphia, PA 19103.</w:t>
      </w:r>
    </w:p>
    <w:p w:rsidR="003F210F" w:rsidRPr="004D4C57" w:rsidRDefault="003F210F" w:rsidP="004D4C57">
      <w:pPr>
        <w:pStyle w:val="fp-1"/>
        <w:rPr>
          <w:sz w:val="22"/>
          <w:szCs w:val="22"/>
        </w:rPr>
      </w:pPr>
      <w:r w:rsidRPr="004D4C57">
        <w:rPr>
          <w:sz w:val="22"/>
          <w:szCs w:val="22"/>
        </w:rPr>
        <w:lastRenderedPageBreak/>
        <w:t>EPA Region IV (Alabama, Florida, Georgia, Kentucky, Mississippi, North Carolina, South Carolina, Tennessee). Director, Air, Pesticides and Toxics Management Division, Atlanta Federal Center, 61 Forsyth Street, Atlanta, GA 30303-3104.</w:t>
      </w:r>
    </w:p>
    <w:p w:rsidR="003F210F" w:rsidRPr="004D4C57" w:rsidRDefault="003F210F" w:rsidP="004D4C57">
      <w:pPr>
        <w:pStyle w:val="fp-1"/>
        <w:rPr>
          <w:sz w:val="22"/>
          <w:szCs w:val="22"/>
        </w:rPr>
      </w:pPr>
      <w:r w:rsidRPr="004D4C57">
        <w:rPr>
          <w:sz w:val="22"/>
          <w:szCs w:val="22"/>
        </w:rPr>
        <w:t xml:space="preserve">EPA Region V (Illinois, Indiana, Michigan, Minnesota, Ohio, Wisconsin), Director, Air and Radiation Division, 77 West Jackson Blvd., Chicago, IL 60604-3507. </w:t>
      </w:r>
    </w:p>
    <w:p w:rsidR="003F210F" w:rsidRPr="004D4C57" w:rsidRDefault="003F210F" w:rsidP="004D4C57">
      <w:pPr>
        <w:pStyle w:val="fp-1"/>
        <w:rPr>
          <w:sz w:val="22"/>
          <w:szCs w:val="22"/>
        </w:rPr>
      </w:pPr>
      <w:r w:rsidRPr="004D4C57">
        <w:rPr>
          <w:sz w:val="22"/>
          <w:szCs w:val="22"/>
        </w:rPr>
        <w:t xml:space="preserve">EPA Region VI (Arkansas, Louisiana, New Mexico, Oklahoma, Texas), Director, Air, Pesticides and Toxics, 1445 Ross Avenue, Dallas, TX 75202-2733. </w:t>
      </w:r>
    </w:p>
    <w:p w:rsidR="003F210F" w:rsidRPr="004D4C57" w:rsidRDefault="003F210F" w:rsidP="004D4C57">
      <w:pPr>
        <w:pStyle w:val="fp-1"/>
        <w:rPr>
          <w:sz w:val="22"/>
          <w:szCs w:val="22"/>
        </w:rPr>
      </w:pPr>
      <w:r w:rsidRPr="004D4C57">
        <w:rPr>
          <w:sz w:val="22"/>
          <w:szCs w:val="22"/>
        </w:rPr>
        <w:t>EPA Region VII (Iowa, Kansas, Missouri, Nebraska), Director, Air and Waste Management Division, 11201 Renner Boulevard, Lenexa, Kansas 66219.</w:t>
      </w:r>
    </w:p>
    <w:p w:rsidR="003F210F" w:rsidRPr="004D4C57" w:rsidRDefault="003F210F" w:rsidP="004D4C57">
      <w:pPr>
        <w:pStyle w:val="fp-1"/>
        <w:rPr>
          <w:sz w:val="22"/>
          <w:szCs w:val="22"/>
        </w:rPr>
      </w:pPr>
      <w:r w:rsidRPr="004D4C57">
        <w:rPr>
          <w:sz w:val="22"/>
          <w:szCs w:val="22"/>
        </w:rPr>
        <w:t>EPA Region VIII (Colorado, Montana, North Dakota, South Dakota, Utah, Wyoming) Director, Air and Toxics Technical Enforcement Program, Office of Enforcement, Compliance and Environmental Justice, Mail Code 8ENF-AT, 1595 Wynkoop Street, Denver, CO 80202-1129.</w:t>
      </w:r>
    </w:p>
    <w:p w:rsidR="003F210F" w:rsidRPr="004D4C57" w:rsidRDefault="003F210F" w:rsidP="004D4C57">
      <w:pPr>
        <w:pStyle w:val="fp-1"/>
        <w:rPr>
          <w:sz w:val="22"/>
          <w:szCs w:val="22"/>
        </w:rPr>
      </w:pPr>
      <w:r w:rsidRPr="004D4C57">
        <w:rPr>
          <w:sz w:val="22"/>
          <w:szCs w:val="22"/>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3F210F" w:rsidRPr="004D4C57" w:rsidRDefault="003F210F" w:rsidP="004D4C57">
      <w:pPr>
        <w:pStyle w:val="fp-1"/>
        <w:rPr>
          <w:sz w:val="22"/>
          <w:szCs w:val="22"/>
        </w:rPr>
      </w:pPr>
      <w:r w:rsidRPr="004D4C57">
        <w:rPr>
          <w:sz w:val="22"/>
          <w:szCs w:val="22"/>
        </w:rPr>
        <w:t>EPA Region X (Alaska, Idaho, Oregon, Washington), Director, Office of Air Quality, 1200 Sixth Avenue (OAQ-107), Seattle, WA 98101.</w:t>
      </w:r>
    </w:p>
    <w:p w:rsidR="003F210F" w:rsidRPr="004D4C57" w:rsidRDefault="003F210F" w:rsidP="004D4C57">
      <w:pPr>
        <w:pStyle w:val="NormalWeb"/>
        <w:rPr>
          <w:sz w:val="22"/>
          <w:szCs w:val="22"/>
        </w:rPr>
      </w:pPr>
      <w:r w:rsidRPr="004D4C57">
        <w:rPr>
          <w:sz w:val="22"/>
          <w:szCs w:val="22"/>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3F210F" w:rsidRPr="004D4C57" w:rsidRDefault="003F210F" w:rsidP="004D4C57">
      <w:pPr>
        <w:pStyle w:val="NormalWeb"/>
        <w:rPr>
          <w:sz w:val="22"/>
          <w:szCs w:val="22"/>
        </w:rPr>
      </w:pPr>
      <w:r w:rsidRPr="004D4C57">
        <w:rPr>
          <w:sz w:val="22"/>
          <w:szCs w:val="22"/>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3F210F" w:rsidRPr="004D4C57" w:rsidRDefault="003F210F" w:rsidP="004D4C57">
      <w:pPr>
        <w:pStyle w:val="cita"/>
        <w:rPr>
          <w:sz w:val="22"/>
          <w:szCs w:val="22"/>
        </w:rPr>
      </w:pPr>
      <w:r w:rsidRPr="004D4C57">
        <w:rPr>
          <w:sz w:val="22"/>
          <w:szCs w:val="22"/>
        </w:rPr>
        <w:t>[59 FR 12430, Mar. 16, 1994, as amended at 63 FR 66061, Dec. 1, 1998; 67 FR 4184, Jan. 29, 2002; 68 FR 32601, May 30, 2003; 68 FR 35792, June 17, 2003; 73 FR 24871, May 6, 2008; 75 FR 69532, Nov. 12, 2010; 76 FR 49673, Aug. 11, 2011; 78 FR 37977, June 25, 2013]</w:t>
      </w:r>
    </w:p>
    <w:p w:rsidR="003F210F" w:rsidRPr="004D4C57" w:rsidRDefault="003F210F" w:rsidP="004D4C57">
      <w:pPr>
        <w:pStyle w:val="Heading2"/>
        <w:rPr>
          <w:rFonts w:ascii="Times New Roman" w:hAnsi="Times New Roman" w:cs="Times New Roman"/>
          <w:sz w:val="22"/>
          <w:szCs w:val="22"/>
        </w:rPr>
      </w:pPr>
      <w:bookmarkStart w:id="20" w:name="se40.11.63_114"/>
      <w:bookmarkEnd w:id="20"/>
      <w:r w:rsidRPr="004D4C57">
        <w:rPr>
          <w:rFonts w:ascii="Times New Roman" w:hAnsi="Times New Roman" w:cs="Times New Roman"/>
          <w:sz w:val="22"/>
          <w:szCs w:val="22"/>
        </w:rPr>
        <w:t>§63.14   Incorporations by reference.</w:t>
      </w:r>
    </w:p>
    <w:p w:rsidR="003F210F" w:rsidRPr="004D4C57" w:rsidRDefault="003F210F" w:rsidP="004D4C57">
      <w:pPr>
        <w:pStyle w:val="NormalWeb"/>
        <w:rPr>
          <w:sz w:val="22"/>
          <w:szCs w:val="22"/>
        </w:rPr>
      </w:pPr>
      <w:r w:rsidRPr="004D4C57">
        <w:rPr>
          <w:sz w:val="22"/>
          <w:szCs w:val="22"/>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4D4C57">
        <w:rPr>
          <w:smallCaps/>
          <w:sz w:val="22"/>
          <w:szCs w:val="22"/>
        </w:rPr>
        <w:t>Federal Register</w:t>
      </w:r>
      <w:r w:rsidRPr="004D4C57">
        <w:rPr>
          <w:sz w:val="22"/>
          <w:szCs w:val="22"/>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4D4C57">
        <w:rPr>
          <w:i/>
          <w:iCs/>
          <w:sz w:val="22"/>
          <w:szCs w:val="22"/>
        </w:rPr>
        <w:t>http://www.archives.gov/federal_register/code_of_federal_regulations/ibr_locations.html.</w:t>
      </w:r>
    </w:p>
    <w:p w:rsidR="003F210F" w:rsidRPr="004D4C57" w:rsidRDefault="003F210F" w:rsidP="004D4C57">
      <w:pPr>
        <w:pStyle w:val="NormalWeb"/>
        <w:rPr>
          <w:sz w:val="22"/>
          <w:szCs w:val="22"/>
        </w:rPr>
      </w:pPr>
      <w:r w:rsidRPr="004D4C57">
        <w:rPr>
          <w:sz w:val="22"/>
          <w:szCs w:val="22"/>
        </w:rPr>
        <w:lastRenderedPageBreak/>
        <w:t>(b) American Conference of Governmental Industrial Hygienists (ACGIH), Customer Service Department, 1330 Kemper Meadow Drive, Cincinnati, Ohio 45240, telephone number (513) 742-2020.</w:t>
      </w:r>
    </w:p>
    <w:p w:rsidR="003F210F" w:rsidRPr="004D4C57" w:rsidRDefault="003F210F" w:rsidP="004D4C57">
      <w:pPr>
        <w:pStyle w:val="NormalWeb"/>
        <w:rPr>
          <w:sz w:val="22"/>
          <w:szCs w:val="22"/>
        </w:rPr>
      </w:pPr>
      <w:r w:rsidRPr="004D4C57">
        <w:rPr>
          <w:sz w:val="22"/>
          <w:szCs w:val="22"/>
        </w:rPr>
        <w:t>(1) Industrial Ventilation: A Manual of Recommended Practice, 22nd Edition, 1995, Chapter 3, “Local Exhaust Hoods” and Chapter 5, “Exhaust System Design Procedure.” IBR approved for §§63.843(b) and 63.844(b).</w:t>
      </w:r>
    </w:p>
    <w:p w:rsidR="003F210F" w:rsidRPr="004D4C57" w:rsidRDefault="003F210F" w:rsidP="004D4C57">
      <w:pPr>
        <w:pStyle w:val="NormalWeb"/>
        <w:rPr>
          <w:sz w:val="22"/>
          <w:szCs w:val="22"/>
        </w:rPr>
      </w:pPr>
      <w:r w:rsidRPr="004D4C57">
        <w:rPr>
          <w:sz w:val="22"/>
          <w:szCs w:val="22"/>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rsidR="003F210F" w:rsidRPr="004D4C57" w:rsidRDefault="003F210F" w:rsidP="004D4C57">
      <w:pPr>
        <w:pStyle w:val="NormalWeb"/>
        <w:rPr>
          <w:sz w:val="22"/>
          <w:szCs w:val="22"/>
        </w:rPr>
      </w:pPr>
      <w:r w:rsidRPr="004D4C57">
        <w:rPr>
          <w:sz w:val="22"/>
          <w:szCs w:val="22"/>
        </w:rPr>
        <w:t>(3) Industrial Ventilation: A Manual of Recommended Practice for Design, 27th Edition, 2010. IBR approved for §§63.1503, 63.1506(c), 63.1512(e), Table 2 to Subpart RRR, Table 3 to Subpart RRR, and Appendix A to Subpart RRR.</w:t>
      </w:r>
    </w:p>
    <w:p w:rsidR="003F210F" w:rsidRPr="004D4C57" w:rsidRDefault="003F210F" w:rsidP="004D4C57">
      <w:pPr>
        <w:pStyle w:val="NormalWeb"/>
        <w:rPr>
          <w:sz w:val="22"/>
          <w:szCs w:val="22"/>
        </w:rPr>
      </w:pPr>
      <w:r w:rsidRPr="004D4C57">
        <w:rPr>
          <w:sz w:val="22"/>
          <w:szCs w:val="22"/>
        </w:rPr>
        <w:t>(c) The Association of Florida Phosphate Chemists, P.O. Box 1645, Bartow, Florida 33830.</w:t>
      </w:r>
    </w:p>
    <w:p w:rsidR="003F210F" w:rsidRPr="004D4C57" w:rsidRDefault="003F210F" w:rsidP="004D4C57">
      <w:pPr>
        <w:pStyle w:val="NormalWeb"/>
        <w:rPr>
          <w:sz w:val="22"/>
          <w:szCs w:val="22"/>
        </w:rPr>
      </w:pPr>
      <w:r w:rsidRPr="004D4C57">
        <w:rPr>
          <w:sz w:val="22"/>
          <w:szCs w:val="22"/>
        </w:rPr>
        <w:t xml:space="preserve">(1) Book of Methods Used and Adopted </w:t>
      </w:r>
      <w:proofErr w:type="gramStart"/>
      <w:r w:rsidRPr="004D4C57">
        <w:rPr>
          <w:sz w:val="22"/>
          <w:szCs w:val="22"/>
        </w:rPr>
        <w:t>By</w:t>
      </w:r>
      <w:proofErr w:type="gramEnd"/>
      <w:r w:rsidRPr="004D4C57">
        <w:rPr>
          <w:sz w:val="22"/>
          <w:szCs w:val="22"/>
        </w:rPr>
        <w:t xml:space="preserve"> The Association of Florida Phosphate Chemists, Seventh Edition 1991:</w:t>
      </w:r>
    </w:p>
    <w:p w:rsidR="003F210F" w:rsidRPr="004D4C57" w:rsidRDefault="003F210F" w:rsidP="004D4C57">
      <w:pPr>
        <w:pStyle w:val="NormalWeb"/>
        <w:rPr>
          <w:sz w:val="22"/>
          <w:szCs w:val="22"/>
        </w:rPr>
      </w:pPr>
      <w:r w:rsidRPr="004D4C57">
        <w:rPr>
          <w:sz w:val="22"/>
          <w:szCs w:val="22"/>
        </w:rPr>
        <w:t>(i) Section IX, Methods of Analysis for Phosphate Rock, No. 1 Preparation of Sample, IBR approved for §63.606(f), §63.626(f).</w:t>
      </w:r>
    </w:p>
    <w:p w:rsidR="003F210F" w:rsidRPr="004D4C57" w:rsidRDefault="003F210F" w:rsidP="004D4C57">
      <w:pPr>
        <w:pStyle w:val="NormalWeb"/>
        <w:rPr>
          <w:sz w:val="22"/>
          <w:szCs w:val="22"/>
        </w:rPr>
      </w:pPr>
      <w:r w:rsidRPr="004D4C57">
        <w:rPr>
          <w:sz w:val="22"/>
          <w:szCs w:val="22"/>
        </w:rPr>
        <w:t>(ii) Section IX, Methods of Analysis for Phosphate Rock, No. 3 Phosphorus-P2O5 or Ca3(PO4)2, Method A—Volumetric Method, IBR approved for §63.606(f), §63.626(f).</w:t>
      </w:r>
    </w:p>
    <w:p w:rsidR="003F210F" w:rsidRPr="004D4C57" w:rsidRDefault="003F210F" w:rsidP="004D4C57">
      <w:pPr>
        <w:pStyle w:val="NormalWeb"/>
        <w:rPr>
          <w:sz w:val="22"/>
          <w:szCs w:val="22"/>
        </w:rPr>
      </w:pPr>
      <w:r w:rsidRPr="004D4C57">
        <w:rPr>
          <w:sz w:val="22"/>
          <w:szCs w:val="22"/>
        </w:rPr>
        <w:t>(iii) Section IX, Methods of Analysis for Phosphate Rock, No. 3 Phosphorus-P2O5 or Ca3(PO4)2, Method B—Gravimetric Quimociac Method, IBR approved for §63.606(f), §63.626(f).</w:t>
      </w:r>
    </w:p>
    <w:p w:rsidR="003F210F" w:rsidRPr="004D4C57" w:rsidRDefault="003F210F" w:rsidP="004D4C57">
      <w:pPr>
        <w:pStyle w:val="NormalWeb"/>
        <w:rPr>
          <w:sz w:val="22"/>
          <w:szCs w:val="22"/>
        </w:rPr>
      </w:pPr>
      <w:r w:rsidRPr="004D4C57">
        <w:rPr>
          <w:sz w:val="22"/>
          <w:szCs w:val="22"/>
        </w:rPr>
        <w:t xml:space="preserve">(iv) Section IX, Methods of Analysis </w:t>
      </w:r>
      <w:proofErr w:type="gramStart"/>
      <w:r w:rsidRPr="004D4C57">
        <w:rPr>
          <w:sz w:val="22"/>
          <w:szCs w:val="22"/>
        </w:rPr>
        <w:t>For</w:t>
      </w:r>
      <w:proofErr w:type="gramEnd"/>
      <w:r w:rsidRPr="004D4C57">
        <w:rPr>
          <w:sz w:val="22"/>
          <w:szCs w:val="22"/>
        </w:rPr>
        <w:t xml:space="preserve"> Phosphate Rock, No. 3 Phosphorus-P2O5 or Ca3(PO4)2, Method C—Spectrophotometric Method, IBR approved for §63.606(f), §63.626(f).</w:t>
      </w:r>
    </w:p>
    <w:p w:rsidR="003F210F" w:rsidRPr="004D4C57" w:rsidRDefault="003F210F" w:rsidP="004D4C57">
      <w:pPr>
        <w:pStyle w:val="NormalWeb"/>
        <w:rPr>
          <w:sz w:val="22"/>
          <w:szCs w:val="22"/>
        </w:rPr>
      </w:pPr>
      <w:r w:rsidRPr="004D4C57">
        <w:rPr>
          <w:sz w:val="22"/>
          <w:szCs w:val="22"/>
        </w:rPr>
        <w:t>(v) Section XI, Methods of Analysis for Phosphoric Acid, Superphosphate, Triple Superphosphate, and Ammonium Phosphates, No. 3 Total Phosphorus-P2O5, Method A—Volumetric Method, IBR approved for §63.606(f), §63.626(f), and (g).</w:t>
      </w:r>
    </w:p>
    <w:p w:rsidR="003F210F" w:rsidRPr="004D4C57" w:rsidRDefault="003F210F" w:rsidP="004D4C57">
      <w:pPr>
        <w:pStyle w:val="NormalWeb"/>
        <w:rPr>
          <w:sz w:val="22"/>
          <w:szCs w:val="22"/>
        </w:rPr>
      </w:pPr>
      <w:r w:rsidRPr="004D4C57">
        <w:rPr>
          <w:sz w:val="22"/>
          <w:szCs w:val="22"/>
        </w:rPr>
        <w:t>(vi) Section XI, Methods of Analysis for Phosphoric Acid, Superphosphate, Triple Superphosphate, and Ammonium Phosphates, No. 3 Total Phosphorus-P2O5, Method B—Gravimetric Quimociac Method, IBR approved for §63.606(f), §63.626(f), and (g).</w:t>
      </w:r>
    </w:p>
    <w:p w:rsidR="003F210F" w:rsidRPr="004D4C57" w:rsidRDefault="003F210F" w:rsidP="004D4C57">
      <w:pPr>
        <w:pStyle w:val="NormalWeb"/>
        <w:rPr>
          <w:sz w:val="22"/>
          <w:szCs w:val="22"/>
        </w:rPr>
      </w:pPr>
      <w:r w:rsidRPr="004D4C57">
        <w:rPr>
          <w:sz w:val="22"/>
          <w:szCs w:val="22"/>
        </w:rPr>
        <w:t>(vii) Section XI, Methods of Analysis for Phosphoric Acid, Superphosphate, Triple Superphosphate, and Ammonium Phosphates, No. 3 Total Phosphorus-P2O5, Method C—Spectrophotometric Method, IBR approved for §63.606(f), §63.626(f), and (g).</w:t>
      </w:r>
    </w:p>
    <w:p w:rsidR="003F210F" w:rsidRPr="004D4C57" w:rsidRDefault="003F210F" w:rsidP="004D4C57">
      <w:pPr>
        <w:pStyle w:val="NormalWeb"/>
        <w:rPr>
          <w:sz w:val="22"/>
          <w:szCs w:val="22"/>
        </w:rPr>
      </w:pPr>
      <w:r w:rsidRPr="004D4C57">
        <w:rPr>
          <w:sz w:val="22"/>
          <w:szCs w:val="22"/>
        </w:rPr>
        <w:t>(2) [Reserved]</w:t>
      </w:r>
    </w:p>
    <w:p w:rsidR="003F210F" w:rsidRPr="004D4C57" w:rsidRDefault="003F210F" w:rsidP="004D4C57">
      <w:pPr>
        <w:pStyle w:val="NormalWeb"/>
        <w:rPr>
          <w:sz w:val="22"/>
          <w:szCs w:val="22"/>
        </w:rPr>
      </w:pPr>
      <w:r w:rsidRPr="004D4C57">
        <w:rPr>
          <w:sz w:val="22"/>
          <w:szCs w:val="22"/>
        </w:rPr>
        <w:t>(d) Association of Official Analytical Chemists (AOAC) International, Customer Services, Suite 400, 2200 Wilson Boulevard, Arlington, Virginia 22201-3301, Telephone (703) 522-3032, Fax (703) 522-5468.</w:t>
      </w:r>
    </w:p>
    <w:p w:rsidR="003F210F" w:rsidRPr="004D4C57" w:rsidRDefault="003F210F" w:rsidP="004D4C57">
      <w:pPr>
        <w:pStyle w:val="NormalWeb"/>
        <w:rPr>
          <w:sz w:val="22"/>
          <w:szCs w:val="22"/>
        </w:rPr>
      </w:pPr>
      <w:r w:rsidRPr="004D4C57">
        <w:rPr>
          <w:sz w:val="22"/>
          <w:szCs w:val="22"/>
        </w:rPr>
        <w:lastRenderedPageBreak/>
        <w:t xml:space="preserve">(1) AOAC Official Method 929.01 Sampling of Solid Fertilizers, </w:t>
      </w:r>
      <w:proofErr w:type="gramStart"/>
      <w:r w:rsidRPr="004D4C57">
        <w:rPr>
          <w:sz w:val="22"/>
          <w:szCs w:val="22"/>
        </w:rPr>
        <w:t>Sixteenth</w:t>
      </w:r>
      <w:proofErr w:type="gramEnd"/>
      <w:r w:rsidRPr="004D4C57">
        <w:rPr>
          <w:sz w:val="22"/>
          <w:szCs w:val="22"/>
        </w:rPr>
        <w:t xml:space="preserve"> edition, 1995, IBR approved for §63.626(g).</w:t>
      </w:r>
    </w:p>
    <w:p w:rsidR="003F210F" w:rsidRPr="004D4C57" w:rsidRDefault="003F210F" w:rsidP="004D4C57">
      <w:pPr>
        <w:pStyle w:val="NormalWeb"/>
        <w:rPr>
          <w:sz w:val="22"/>
          <w:szCs w:val="22"/>
        </w:rPr>
      </w:pPr>
      <w:r w:rsidRPr="004D4C57">
        <w:rPr>
          <w:sz w:val="22"/>
          <w:szCs w:val="22"/>
        </w:rPr>
        <w:t xml:space="preserve">(2) AOAC Official Method 929.02 Preparation of Fertilizer Sample, </w:t>
      </w:r>
      <w:proofErr w:type="gramStart"/>
      <w:r w:rsidRPr="004D4C57">
        <w:rPr>
          <w:sz w:val="22"/>
          <w:szCs w:val="22"/>
        </w:rPr>
        <w:t>Sixteenth</w:t>
      </w:r>
      <w:proofErr w:type="gramEnd"/>
      <w:r w:rsidRPr="004D4C57">
        <w:rPr>
          <w:sz w:val="22"/>
          <w:szCs w:val="22"/>
        </w:rPr>
        <w:t xml:space="preserve"> edition, 1995, IBR approved for §63.626(g).</w:t>
      </w:r>
    </w:p>
    <w:p w:rsidR="003F210F" w:rsidRPr="004D4C57" w:rsidRDefault="003F210F" w:rsidP="004D4C57">
      <w:pPr>
        <w:pStyle w:val="NormalWeb"/>
        <w:rPr>
          <w:sz w:val="22"/>
          <w:szCs w:val="22"/>
        </w:rPr>
      </w:pPr>
      <w:r w:rsidRPr="004D4C57">
        <w:rPr>
          <w:sz w:val="22"/>
          <w:szCs w:val="22"/>
        </w:rPr>
        <w:t xml:space="preserve">(3) AOAC Official Method 957.02 Phosphorus (Total) in Fertilizers, Preparation of Sample Solution, </w:t>
      </w:r>
      <w:proofErr w:type="gramStart"/>
      <w:r w:rsidRPr="004D4C57">
        <w:rPr>
          <w:sz w:val="22"/>
          <w:szCs w:val="22"/>
        </w:rPr>
        <w:t>Sixteenth</w:t>
      </w:r>
      <w:proofErr w:type="gramEnd"/>
      <w:r w:rsidRPr="004D4C57">
        <w:rPr>
          <w:sz w:val="22"/>
          <w:szCs w:val="22"/>
        </w:rPr>
        <w:t xml:space="preserve"> edition, 1995, IBR approved for §63.626(g).</w:t>
      </w:r>
    </w:p>
    <w:p w:rsidR="003F210F" w:rsidRPr="004D4C57" w:rsidRDefault="003F210F" w:rsidP="004D4C57">
      <w:pPr>
        <w:pStyle w:val="NormalWeb"/>
        <w:rPr>
          <w:sz w:val="22"/>
          <w:szCs w:val="22"/>
        </w:rPr>
      </w:pPr>
      <w:r w:rsidRPr="004D4C57">
        <w:rPr>
          <w:sz w:val="22"/>
          <w:szCs w:val="22"/>
        </w:rPr>
        <w:t xml:space="preserve">(4) AOAC Official Method 958.01 Phosphorus (Total) in Fertilizers, Spectrophotometric Molybdovanadophosphate Method, </w:t>
      </w:r>
      <w:proofErr w:type="gramStart"/>
      <w:r w:rsidRPr="004D4C57">
        <w:rPr>
          <w:sz w:val="22"/>
          <w:szCs w:val="22"/>
        </w:rPr>
        <w:t>Sixteenth</w:t>
      </w:r>
      <w:proofErr w:type="gramEnd"/>
      <w:r w:rsidRPr="004D4C57">
        <w:rPr>
          <w:sz w:val="22"/>
          <w:szCs w:val="22"/>
        </w:rPr>
        <w:t xml:space="preserve"> edition, 1995, IBR approved for §63.626(g).</w:t>
      </w:r>
    </w:p>
    <w:p w:rsidR="003F210F" w:rsidRPr="004D4C57" w:rsidRDefault="003F210F" w:rsidP="004D4C57">
      <w:pPr>
        <w:pStyle w:val="NormalWeb"/>
        <w:rPr>
          <w:sz w:val="22"/>
          <w:szCs w:val="22"/>
        </w:rPr>
      </w:pPr>
      <w:r w:rsidRPr="004D4C57">
        <w:rPr>
          <w:sz w:val="22"/>
          <w:szCs w:val="22"/>
        </w:rPr>
        <w:t xml:space="preserve">(5) AOAC Official Method 962.02 Phosphorus (Total) in Fertilizers, Gravimetric Quinolinium Molybdophosphate Method, </w:t>
      </w:r>
      <w:proofErr w:type="gramStart"/>
      <w:r w:rsidRPr="004D4C57">
        <w:rPr>
          <w:sz w:val="22"/>
          <w:szCs w:val="22"/>
        </w:rPr>
        <w:t>Sixteenth</w:t>
      </w:r>
      <w:proofErr w:type="gramEnd"/>
      <w:r w:rsidRPr="004D4C57">
        <w:rPr>
          <w:sz w:val="22"/>
          <w:szCs w:val="22"/>
        </w:rPr>
        <w:t xml:space="preserve"> edition, 1995, IBR approved for §63.626(g).</w:t>
      </w:r>
    </w:p>
    <w:p w:rsidR="003F210F" w:rsidRPr="004D4C57" w:rsidRDefault="003F210F" w:rsidP="004D4C57">
      <w:pPr>
        <w:pStyle w:val="NormalWeb"/>
        <w:rPr>
          <w:sz w:val="22"/>
          <w:szCs w:val="22"/>
        </w:rPr>
      </w:pPr>
      <w:r w:rsidRPr="004D4C57">
        <w:rPr>
          <w:sz w:val="22"/>
          <w:szCs w:val="22"/>
        </w:rPr>
        <w:t xml:space="preserve">(6) AOAC Official Method 969.02 Phosphorus (Total) in Fertilizers, Alkalimetric Quinolinium Molybdophosphate Method, </w:t>
      </w:r>
      <w:proofErr w:type="gramStart"/>
      <w:r w:rsidRPr="004D4C57">
        <w:rPr>
          <w:sz w:val="22"/>
          <w:szCs w:val="22"/>
        </w:rPr>
        <w:t>Sixteenth</w:t>
      </w:r>
      <w:proofErr w:type="gramEnd"/>
      <w:r w:rsidRPr="004D4C57">
        <w:rPr>
          <w:sz w:val="22"/>
          <w:szCs w:val="22"/>
        </w:rPr>
        <w:t xml:space="preserve"> edition, 1995, IBR approved for §63.626(g).</w:t>
      </w:r>
    </w:p>
    <w:p w:rsidR="003F210F" w:rsidRPr="004D4C57" w:rsidRDefault="003F210F" w:rsidP="004D4C57">
      <w:pPr>
        <w:pStyle w:val="NormalWeb"/>
        <w:rPr>
          <w:sz w:val="22"/>
          <w:szCs w:val="22"/>
        </w:rPr>
      </w:pPr>
      <w:r w:rsidRPr="004D4C57">
        <w:rPr>
          <w:sz w:val="22"/>
          <w:szCs w:val="22"/>
        </w:rPr>
        <w:t xml:space="preserve">(7) AOAC Official Method 978.01 Phosphorus (Total) in Fertilizers, Automated Method, </w:t>
      </w:r>
      <w:proofErr w:type="gramStart"/>
      <w:r w:rsidRPr="004D4C57">
        <w:rPr>
          <w:sz w:val="22"/>
          <w:szCs w:val="22"/>
        </w:rPr>
        <w:t>Sixteenth</w:t>
      </w:r>
      <w:proofErr w:type="gramEnd"/>
      <w:r w:rsidRPr="004D4C57">
        <w:rPr>
          <w:sz w:val="22"/>
          <w:szCs w:val="22"/>
        </w:rPr>
        <w:t xml:space="preserve"> edition, 1995, IBR approved for §63.626(g).</w:t>
      </w:r>
    </w:p>
    <w:p w:rsidR="003F210F" w:rsidRPr="004D4C57" w:rsidRDefault="003F210F" w:rsidP="004D4C57">
      <w:pPr>
        <w:pStyle w:val="NormalWeb"/>
        <w:rPr>
          <w:sz w:val="22"/>
          <w:szCs w:val="22"/>
        </w:rPr>
      </w:pPr>
      <w:r w:rsidRPr="004D4C57">
        <w:rPr>
          <w:sz w:val="22"/>
          <w:szCs w:val="22"/>
        </w:rPr>
        <w:t>(e) American Petroleum Institute (API), 1220 L Street NW., Washington, DC 20005.</w:t>
      </w:r>
    </w:p>
    <w:p w:rsidR="003F210F" w:rsidRPr="004D4C57" w:rsidRDefault="003F210F" w:rsidP="004D4C57">
      <w:pPr>
        <w:pStyle w:val="NormalWeb"/>
        <w:rPr>
          <w:sz w:val="22"/>
          <w:szCs w:val="22"/>
        </w:rPr>
      </w:pPr>
      <w:r w:rsidRPr="004D4C57">
        <w:rPr>
          <w:sz w:val="22"/>
          <w:szCs w:val="22"/>
        </w:rPr>
        <w:t>(1) API Publication 2517, Evaporative Loss from External Floating-Roof Tanks, Third Edition, February 1989, IBR approved for §§63.111 and 63.2406.</w:t>
      </w:r>
    </w:p>
    <w:p w:rsidR="003F210F" w:rsidRPr="004D4C57" w:rsidRDefault="003F210F" w:rsidP="004D4C57">
      <w:pPr>
        <w:pStyle w:val="NormalWeb"/>
        <w:rPr>
          <w:sz w:val="22"/>
          <w:szCs w:val="22"/>
        </w:rPr>
      </w:pPr>
      <w:r w:rsidRPr="004D4C57">
        <w:rPr>
          <w:sz w:val="22"/>
          <w:szCs w:val="22"/>
        </w:rPr>
        <w:t>(2) API Publication 2518, Evaporative Loss from Fixed-roof Tanks, Second Edition, October 1991, IBR approved for §63.150(g).</w:t>
      </w:r>
    </w:p>
    <w:p w:rsidR="003F210F" w:rsidRPr="004D4C57" w:rsidRDefault="003F210F" w:rsidP="004D4C57">
      <w:pPr>
        <w:pStyle w:val="NormalWeb"/>
        <w:rPr>
          <w:sz w:val="22"/>
          <w:szCs w:val="22"/>
        </w:rPr>
      </w:pPr>
      <w:r w:rsidRPr="004D4C57">
        <w:rPr>
          <w:sz w:val="22"/>
          <w:szCs w:val="22"/>
        </w:rPr>
        <w:t xml:space="preserve">(3) API Manual of Petroleum Measurement Specifications (MPMS) Chapter 19.2 (API MPMS 19.2), Evaporative Loss </w:t>
      </w:r>
      <w:proofErr w:type="gramStart"/>
      <w:r w:rsidRPr="004D4C57">
        <w:rPr>
          <w:sz w:val="22"/>
          <w:szCs w:val="22"/>
        </w:rPr>
        <w:t>From</w:t>
      </w:r>
      <w:proofErr w:type="gramEnd"/>
      <w:r w:rsidRPr="004D4C57">
        <w:rPr>
          <w:sz w:val="22"/>
          <w:szCs w:val="22"/>
        </w:rPr>
        <w:t xml:space="preserve"> Floating-Roof Tanks, First Edition, April 1997, IBR approved for §§63.1251 and 63.12005.</w:t>
      </w:r>
    </w:p>
    <w:p w:rsidR="003F210F" w:rsidRPr="004D4C57" w:rsidRDefault="003F210F" w:rsidP="004D4C57">
      <w:pPr>
        <w:pStyle w:val="NormalWeb"/>
        <w:rPr>
          <w:sz w:val="22"/>
          <w:szCs w:val="22"/>
        </w:rPr>
      </w:pPr>
      <w:r w:rsidRPr="004D4C57">
        <w:rPr>
          <w:sz w:val="22"/>
          <w:szCs w:val="22"/>
        </w:rPr>
        <w:t xml:space="preserve">(f) American Society of Heating, Refrigerating, and Air-Conditioning Engineers at 1791 Tullie Circle, NE., Atlanta, GA 30329 </w:t>
      </w:r>
      <w:r w:rsidRPr="004D4C57">
        <w:rPr>
          <w:i/>
          <w:iCs/>
          <w:sz w:val="22"/>
          <w:szCs w:val="22"/>
        </w:rPr>
        <w:t>orders@ashrae.org.</w:t>
      </w:r>
    </w:p>
    <w:p w:rsidR="003F210F" w:rsidRPr="004D4C57" w:rsidRDefault="003F210F" w:rsidP="004D4C57">
      <w:pPr>
        <w:pStyle w:val="NormalWeb"/>
        <w:rPr>
          <w:sz w:val="22"/>
          <w:szCs w:val="22"/>
        </w:rPr>
      </w:pPr>
      <w:r w:rsidRPr="004D4C57">
        <w:rPr>
          <w:sz w:val="22"/>
          <w:szCs w:val="22"/>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3F210F" w:rsidRPr="004D4C57" w:rsidRDefault="003F210F" w:rsidP="004D4C57">
      <w:pPr>
        <w:pStyle w:val="NormalWeb"/>
        <w:rPr>
          <w:sz w:val="22"/>
          <w:szCs w:val="22"/>
        </w:rPr>
      </w:pPr>
      <w:r w:rsidRPr="004D4C57">
        <w:rPr>
          <w:sz w:val="22"/>
          <w:szCs w:val="22"/>
        </w:rPr>
        <w:t>(2) [Reserved]</w:t>
      </w:r>
    </w:p>
    <w:p w:rsidR="003F210F" w:rsidRPr="004D4C57" w:rsidRDefault="003F210F" w:rsidP="004D4C57">
      <w:pPr>
        <w:pStyle w:val="NormalWeb"/>
        <w:rPr>
          <w:sz w:val="22"/>
          <w:szCs w:val="22"/>
        </w:rPr>
      </w:pPr>
      <w:r w:rsidRPr="004D4C57">
        <w:rPr>
          <w:sz w:val="22"/>
          <w:szCs w:val="22"/>
        </w:rPr>
        <w:t xml:space="preserve">(g) American Society of Mechanical Engineers (ASME), Three Park Avenue, New York, NY 10016-5990, Telephone (800) 843-2763, </w:t>
      </w:r>
      <w:r w:rsidRPr="004D4C57">
        <w:rPr>
          <w:i/>
          <w:iCs/>
          <w:sz w:val="22"/>
          <w:szCs w:val="22"/>
        </w:rPr>
        <w:t>http://www.asme.org;</w:t>
      </w:r>
      <w:r w:rsidRPr="004D4C57">
        <w:rPr>
          <w:sz w:val="22"/>
          <w:szCs w:val="22"/>
        </w:rPr>
        <w:t xml:space="preserve"> </w:t>
      </w:r>
      <w:proofErr w:type="gramStart"/>
      <w:r w:rsidRPr="004D4C57">
        <w:rPr>
          <w:sz w:val="22"/>
          <w:szCs w:val="22"/>
        </w:rPr>
        <w:t>also</w:t>
      </w:r>
      <w:proofErr w:type="gramEnd"/>
      <w:r w:rsidRPr="004D4C57">
        <w:rPr>
          <w:sz w:val="22"/>
          <w:szCs w:val="22"/>
        </w:rPr>
        <w:t xml:space="preserve"> available from HIS, Incorporated, 15 Inverness Way East, Englewood, CO 80112, Telephone (877) 413-5184, </w:t>
      </w:r>
      <w:r w:rsidRPr="004D4C57">
        <w:rPr>
          <w:i/>
          <w:iCs/>
          <w:sz w:val="22"/>
          <w:szCs w:val="22"/>
        </w:rPr>
        <w:t>http://global.ihs.com.</w:t>
      </w:r>
    </w:p>
    <w:p w:rsidR="003F210F" w:rsidRPr="004D4C57" w:rsidRDefault="003F210F" w:rsidP="004D4C57">
      <w:pPr>
        <w:pStyle w:val="NormalWeb"/>
        <w:rPr>
          <w:sz w:val="22"/>
          <w:szCs w:val="22"/>
        </w:rPr>
      </w:pPr>
      <w:r w:rsidRPr="004D4C57">
        <w:rPr>
          <w:sz w:val="22"/>
          <w:szCs w:val="22"/>
        </w:rPr>
        <w:t xml:space="preserve">(1) ANSI/ASME PTC 19.10-1981, Flue and Exhaust Gas Analyses [Part 10, Instruments and Apparatus], issued August 31, 1981, IBR approved for §§63.309(k), 63.457(k), 63.772(e) and (h), 63.865(b), 63.1282(d) and (g), 63.1625(b), 63.3166(a), 63.3360(e), 63.3545(a), 63.3555(a), 63.4166(a), 63.4362(a), 63.4766(a), 63.4965(a), </w:t>
      </w:r>
      <w:r w:rsidRPr="004D4C57">
        <w:rPr>
          <w:sz w:val="22"/>
          <w:szCs w:val="22"/>
        </w:rPr>
        <w:lastRenderedPageBreak/>
        <w:t>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rsidR="003F210F" w:rsidRPr="004D4C57" w:rsidRDefault="003F210F" w:rsidP="004D4C57">
      <w:pPr>
        <w:pStyle w:val="NormalWeb"/>
        <w:rPr>
          <w:sz w:val="22"/>
          <w:szCs w:val="22"/>
        </w:rPr>
      </w:pPr>
      <w:r w:rsidRPr="004D4C57">
        <w:rPr>
          <w:sz w:val="22"/>
          <w:szCs w:val="22"/>
        </w:rPr>
        <w:t>(2) [Reserved]</w:t>
      </w:r>
    </w:p>
    <w:p w:rsidR="003F210F" w:rsidRPr="004D4C57" w:rsidRDefault="003F210F" w:rsidP="004D4C57">
      <w:pPr>
        <w:pStyle w:val="NormalWeb"/>
        <w:rPr>
          <w:sz w:val="22"/>
          <w:szCs w:val="22"/>
        </w:rPr>
      </w:pPr>
      <w:r w:rsidRPr="004D4C57">
        <w:rPr>
          <w:sz w:val="22"/>
          <w:szCs w:val="22"/>
        </w:rPr>
        <w:t xml:space="preserve">(h) American Society for Testing and Materials (ASTM), 100 Barr Harbor Drive, Post Office Box C700, West Conshohocken, PA 19428-2959, Telephone (610) 832-9585, </w:t>
      </w:r>
      <w:r w:rsidRPr="004D4C57">
        <w:rPr>
          <w:i/>
          <w:iCs/>
          <w:sz w:val="22"/>
          <w:szCs w:val="22"/>
        </w:rPr>
        <w:t>http://www.astm.org;</w:t>
      </w:r>
      <w:r w:rsidRPr="004D4C57">
        <w:rPr>
          <w:sz w:val="22"/>
          <w:szCs w:val="22"/>
        </w:rPr>
        <w:t xml:space="preserve"> </w:t>
      </w:r>
      <w:proofErr w:type="gramStart"/>
      <w:r w:rsidRPr="004D4C57">
        <w:rPr>
          <w:sz w:val="22"/>
          <w:szCs w:val="22"/>
        </w:rPr>
        <w:t>also</w:t>
      </w:r>
      <w:proofErr w:type="gramEnd"/>
      <w:r w:rsidRPr="004D4C57">
        <w:rPr>
          <w:sz w:val="22"/>
          <w:szCs w:val="22"/>
        </w:rPr>
        <w:t xml:space="preserve"> available from ProQuest, 789 East Eisenhower Parkway, Ann Arbor, MI 48106-1346, Telephone (734) 761-4700, </w:t>
      </w:r>
      <w:r w:rsidRPr="004D4C57">
        <w:rPr>
          <w:i/>
          <w:iCs/>
          <w:sz w:val="22"/>
          <w:szCs w:val="22"/>
        </w:rPr>
        <w:t>http://www.proquest.com.</w:t>
      </w:r>
    </w:p>
    <w:p w:rsidR="003F210F" w:rsidRPr="004D4C57" w:rsidRDefault="003F210F" w:rsidP="004D4C57">
      <w:pPr>
        <w:pStyle w:val="NormalWeb"/>
        <w:rPr>
          <w:sz w:val="22"/>
          <w:szCs w:val="22"/>
        </w:rPr>
      </w:pPr>
      <w:r w:rsidRPr="004D4C57">
        <w:rPr>
          <w:sz w:val="22"/>
          <w:szCs w:val="22"/>
        </w:rPr>
        <w:t>(1) ASTM D95-05 (Reapproved 2010), Standard Test Method for Water in Petroleum Products and Bituminous Materials by Distillation, approved May 1, 2010, IBR approved for §63.10005(i) and table 6 to subpart DDDDD.</w:t>
      </w:r>
    </w:p>
    <w:p w:rsidR="003F210F" w:rsidRPr="004D4C57" w:rsidRDefault="003F210F" w:rsidP="004D4C57">
      <w:pPr>
        <w:pStyle w:val="NormalWeb"/>
        <w:rPr>
          <w:sz w:val="22"/>
          <w:szCs w:val="22"/>
        </w:rPr>
      </w:pPr>
      <w:r w:rsidRPr="004D4C57">
        <w:rPr>
          <w:sz w:val="22"/>
          <w:szCs w:val="22"/>
        </w:rPr>
        <w:t>(2) ASTM D240-09 Standard Test Method for Heat of Combustion of Liquid Hydrocarbon Fuels by Bomb Calorimeter, approved July 1, 2009, IBR approved for table 6 to subpart DDDDD.</w:t>
      </w:r>
    </w:p>
    <w:p w:rsidR="003F210F" w:rsidRPr="004D4C57" w:rsidRDefault="003F210F" w:rsidP="004D4C57">
      <w:pPr>
        <w:pStyle w:val="NormalWeb"/>
        <w:rPr>
          <w:sz w:val="22"/>
          <w:szCs w:val="22"/>
        </w:rPr>
      </w:pPr>
      <w:r w:rsidRPr="004D4C57">
        <w:rPr>
          <w:sz w:val="22"/>
          <w:szCs w:val="22"/>
        </w:rPr>
        <w:t>(3) ASTM Method D388-05, Standard Classification of Coals by Rank, approved September 15, 2005, IBR approved for §§63.7575, 63.10042, and 63.11237.</w:t>
      </w:r>
    </w:p>
    <w:p w:rsidR="003F210F" w:rsidRPr="004D4C57" w:rsidRDefault="003F210F" w:rsidP="004D4C57">
      <w:pPr>
        <w:pStyle w:val="NormalWeb"/>
        <w:rPr>
          <w:sz w:val="22"/>
          <w:szCs w:val="22"/>
        </w:rPr>
      </w:pPr>
      <w:r w:rsidRPr="004D4C57">
        <w:rPr>
          <w:sz w:val="22"/>
          <w:szCs w:val="22"/>
        </w:rPr>
        <w:t>(4) ASTM Method D396-10, Standard Specification for Fuel Oils, including Appendix X1, approved October 1, 2010, IBR approved for §63.10042.</w:t>
      </w:r>
    </w:p>
    <w:p w:rsidR="003F210F" w:rsidRPr="004D4C57" w:rsidRDefault="003F210F" w:rsidP="004D4C57">
      <w:pPr>
        <w:pStyle w:val="NormalWeb"/>
        <w:rPr>
          <w:sz w:val="22"/>
          <w:szCs w:val="22"/>
        </w:rPr>
      </w:pPr>
      <w:r w:rsidRPr="004D4C57">
        <w:rPr>
          <w:sz w:val="22"/>
          <w:szCs w:val="22"/>
        </w:rPr>
        <w:t>(5) ASTM D396-10, Standard Specification for Fuel Oils, approved October 1, 2010, IBR approved for §§63.7575 and 63.11237.</w:t>
      </w:r>
    </w:p>
    <w:p w:rsidR="003F210F" w:rsidRPr="004D4C57" w:rsidRDefault="003F210F" w:rsidP="004D4C57">
      <w:pPr>
        <w:pStyle w:val="NormalWeb"/>
        <w:rPr>
          <w:sz w:val="22"/>
          <w:szCs w:val="22"/>
        </w:rPr>
      </w:pPr>
      <w:r w:rsidRPr="004D4C57">
        <w:rPr>
          <w:sz w:val="22"/>
          <w:szCs w:val="22"/>
        </w:rPr>
        <w:t>(6) ASTM D523-89, Standard Test Method for Specular Gloss, IBR approved for §63.782.</w:t>
      </w:r>
    </w:p>
    <w:p w:rsidR="003F210F" w:rsidRPr="004D4C57" w:rsidRDefault="003F210F" w:rsidP="004D4C57">
      <w:pPr>
        <w:pStyle w:val="NormalWeb"/>
        <w:rPr>
          <w:sz w:val="22"/>
          <w:szCs w:val="22"/>
        </w:rPr>
      </w:pPr>
      <w:r w:rsidRPr="004D4C57">
        <w:rPr>
          <w:sz w:val="22"/>
          <w:szCs w:val="22"/>
        </w:rPr>
        <w:t>(7) ASTM D975-11b, Standard Specification for Diesel Fuel Oils, approved December 1, 2011, IBR approved for §63.7575.</w:t>
      </w:r>
    </w:p>
    <w:p w:rsidR="003F210F" w:rsidRPr="004D4C57" w:rsidRDefault="003F210F" w:rsidP="004D4C57">
      <w:pPr>
        <w:pStyle w:val="NormalWeb"/>
        <w:rPr>
          <w:sz w:val="22"/>
          <w:szCs w:val="22"/>
        </w:rPr>
      </w:pPr>
      <w:r w:rsidRPr="004D4C57">
        <w:rPr>
          <w:sz w:val="22"/>
          <w:szCs w:val="22"/>
        </w:rPr>
        <w:t>(8) ASTM D1193-77, Standard Specification for Reagent Water, IBR approved for appendix A to part 63: Method 306, Sections 7.1.1 and 7.4.2.</w:t>
      </w:r>
    </w:p>
    <w:p w:rsidR="003F210F" w:rsidRPr="004D4C57" w:rsidRDefault="003F210F" w:rsidP="004D4C57">
      <w:pPr>
        <w:pStyle w:val="NormalWeb"/>
        <w:rPr>
          <w:sz w:val="22"/>
          <w:szCs w:val="22"/>
        </w:rPr>
      </w:pPr>
      <w:r w:rsidRPr="004D4C57">
        <w:rPr>
          <w:sz w:val="22"/>
          <w:szCs w:val="22"/>
        </w:rPr>
        <w:t>(9) ASTM D1193-91, Standard Specification for Reagent Water, IBR approved for appendix A to part 63: Method 306, Sections 7.1.1 and 7.4.2.</w:t>
      </w:r>
    </w:p>
    <w:p w:rsidR="003F210F" w:rsidRPr="004D4C57" w:rsidRDefault="003F210F" w:rsidP="004D4C57">
      <w:pPr>
        <w:pStyle w:val="NormalWeb"/>
        <w:rPr>
          <w:sz w:val="22"/>
          <w:szCs w:val="22"/>
        </w:rPr>
      </w:pPr>
      <w:r w:rsidRPr="004D4C57">
        <w:rPr>
          <w:sz w:val="22"/>
          <w:szCs w:val="22"/>
        </w:rPr>
        <w:t>(10) ASTM D1331-89, Standard Test Methods for Surface and Interfacial Tension of Solutions of Surface Active Agents, IBR approved for appendix A to part 63: Method 306B, Sections 6.2, 11.1, and 12.2.2.</w:t>
      </w:r>
    </w:p>
    <w:p w:rsidR="003F210F" w:rsidRPr="004D4C57" w:rsidRDefault="003F210F" w:rsidP="004D4C57">
      <w:pPr>
        <w:pStyle w:val="NormalWeb"/>
        <w:rPr>
          <w:sz w:val="22"/>
          <w:szCs w:val="22"/>
        </w:rPr>
      </w:pPr>
      <w:r w:rsidRPr="004D4C57">
        <w:rPr>
          <w:sz w:val="22"/>
          <w:szCs w:val="22"/>
        </w:rPr>
        <w:t>(11) ASTM D1475-90, Standard Test Method for Density of Paint, Varnish Lacquer, and Related Products, IBR approved for appendix A to subpart II.</w:t>
      </w:r>
    </w:p>
    <w:p w:rsidR="003F210F" w:rsidRPr="004D4C57" w:rsidRDefault="003F210F" w:rsidP="004D4C57">
      <w:pPr>
        <w:pStyle w:val="NormalWeb"/>
        <w:rPr>
          <w:sz w:val="22"/>
          <w:szCs w:val="22"/>
        </w:rPr>
      </w:pPr>
      <w:r w:rsidRPr="004D4C57">
        <w:rPr>
          <w:sz w:val="22"/>
          <w:szCs w:val="22"/>
        </w:rPr>
        <w:t>(12) ASTM D1475-98 (Reapproved 2003), “Standard Test Method for Density of Liquid Coatings, Inks, and Related Products,” IBR approved for §§63.3151(b), 63.3941(b) and (c), 63.3951(c), 63.4141(b) and (c), and 63.4551(c).</w:t>
      </w:r>
    </w:p>
    <w:p w:rsidR="003F210F" w:rsidRPr="004D4C57" w:rsidRDefault="003F210F" w:rsidP="004D4C57">
      <w:pPr>
        <w:pStyle w:val="NormalWeb"/>
        <w:rPr>
          <w:sz w:val="22"/>
          <w:szCs w:val="22"/>
        </w:rPr>
      </w:pPr>
      <w:r w:rsidRPr="004D4C57">
        <w:rPr>
          <w:sz w:val="22"/>
          <w:szCs w:val="22"/>
        </w:rPr>
        <w:lastRenderedPageBreak/>
        <w:t>(13) ASTM Method D1835-05, Standard Specification for Liquefied Petroleum (LP) Gases, approved April 1, 2005, IBR approved for §§63.7575 and 63.11237.</w:t>
      </w:r>
    </w:p>
    <w:p w:rsidR="003F210F" w:rsidRPr="004D4C57" w:rsidRDefault="003F210F" w:rsidP="004D4C57">
      <w:pPr>
        <w:pStyle w:val="NormalWeb"/>
        <w:rPr>
          <w:sz w:val="22"/>
          <w:szCs w:val="22"/>
        </w:rPr>
      </w:pPr>
      <w:r w:rsidRPr="004D4C57">
        <w:rPr>
          <w:sz w:val="22"/>
          <w:szCs w:val="22"/>
        </w:rPr>
        <w:t>(14) ASTM D1945-03 (Reapproved 2010), Standard Test Method for Analysis of Natural Gas by Gas Chromatography, Approved January 1, 2010, IBR approved for §§63.670(j), 63.772(h), and 63.1282(g).</w:t>
      </w:r>
    </w:p>
    <w:p w:rsidR="003F210F" w:rsidRPr="004D4C57" w:rsidRDefault="003F210F" w:rsidP="004D4C57">
      <w:pPr>
        <w:pStyle w:val="NormalWeb"/>
        <w:rPr>
          <w:sz w:val="22"/>
          <w:szCs w:val="22"/>
        </w:rPr>
      </w:pPr>
      <w:r w:rsidRPr="004D4C57">
        <w:rPr>
          <w:sz w:val="22"/>
          <w:szCs w:val="22"/>
        </w:rPr>
        <w:t>(15) ASTM D1945-14, Standard Test Method for Analysis of Natural Gas by Gas Chromatography, Approved November 1, 2014, IBR approved for §63.670(j).</w:t>
      </w:r>
    </w:p>
    <w:p w:rsidR="003F210F" w:rsidRPr="004D4C57" w:rsidRDefault="003F210F" w:rsidP="004D4C57">
      <w:pPr>
        <w:pStyle w:val="NormalWeb"/>
        <w:rPr>
          <w:sz w:val="22"/>
          <w:szCs w:val="22"/>
        </w:rPr>
      </w:pPr>
      <w:r w:rsidRPr="004D4C57">
        <w:rPr>
          <w:sz w:val="22"/>
          <w:szCs w:val="22"/>
        </w:rPr>
        <w:t>(16) ASTM D1946-77, Standard Method for Analysis of Reformed Gas by Gas Chromatography, IBR approved for §63.11(b).</w:t>
      </w:r>
    </w:p>
    <w:p w:rsidR="003F210F" w:rsidRPr="004D4C57" w:rsidRDefault="003F210F" w:rsidP="004D4C57">
      <w:pPr>
        <w:pStyle w:val="NormalWeb"/>
        <w:rPr>
          <w:sz w:val="22"/>
          <w:szCs w:val="22"/>
        </w:rPr>
      </w:pPr>
      <w:r w:rsidRPr="004D4C57">
        <w:rPr>
          <w:sz w:val="22"/>
          <w:szCs w:val="22"/>
        </w:rPr>
        <w:t>(17) ASTM D1946-90 (Reapproved 1994), Standard Method for Analysis of Reformed Gas by Gas Chromatography, IBR approved for §63.11(b).</w:t>
      </w:r>
    </w:p>
    <w:p w:rsidR="003F210F" w:rsidRPr="004D4C57" w:rsidRDefault="003F210F" w:rsidP="004D4C57">
      <w:pPr>
        <w:pStyle w:val="NormalWeb"/>
        <w:rPr>
          <w:sz w:val="22"/>
          <w:szCs w:val="22"/>
        </w:rPr>
      </w:pPr>
      <w:r w:rsidRPr="004D4C57">
        <w:rPr>
          <w:sz w:val="22"/>
          <w:szCs w:val="22"/>
        </w:rPr>
        <w:t>(18) ASTM D2013/D2013M-09, Standard Practice for Preparing Coal Samples for Analysis, (Approved November 1, 2009), IBR approved for table 6 to subpart DDDDD and table 5 to subpart JJJJJJ.</w:t>
      </w:r>
    </w:p>
    <w:p w:rsidR="003F210F" w:rsidRPr="004D4C57" w:rsidRDefault="003F210F" w:rsidP="004D4C57">
      <w:pPr>
        <w:pStyle w:val="NormalWeb"/>
        <w:rPr>
          <w:sz w:val="22"/>
          <w:szCs w:val="22"/>
        </w:rPr>
      </w:pPr>
      <w:r w:rsidRPr="004D4C57">
        <w:rPr>
          <w:sz w:val="22"/>
          <w:szCs w:val="22"/>
        </w:rPr>
        <w:t>(19) ASTM D2099-00, Standard Test Method for Dynamic Water Resistance of Shoe Upper Leather by the Maeser Water Penetration Tester, IBR approved for §63.5350.</w:t>
      </w:r>
    </w:p>
    <w:p w:rsidR="003F210F" w:rsidRPr="004D4C57" w:rsidRDefault="003F210F" w:rsidP="004D4C57">
      <w:pPr>
        <w:pStyle w:val="NormalWeb"/>
        <w:rPr>
          <w:sz w:val="22"/>
          <w:szCs w:val="22"/>
        </w:rPr>
      </w:pPr>
      <w:r w:rsidRPr="004D4C57">
        <w:rPr>
          <w:sz w:val="22"/>
          <w:szCs w:val="22"/>
        </w:rPr>
        <w:t>(20) ASTM D2216-05, Standard Test Methods for Laboratory Determination of Water (Moisture) Content of Soil and Rock by Mass, IBR approved for the definition of “Free organic liquids” in §63.10692.</w:t>
      </w:r>
    </w:p>
    <w:p w:rsidR="003F210F" w:rsidRPr="004D4C57" w:rsidRDefault="003F210F" w:rsidP="004D4C57">
      <w:pPr>
        <w:pStyle w:val="NormalWeb"/>
        <w:rPr>
          <w:sz w:val="22"/>
          <w:szCs w:val="22"/>
        </w:rPr>
      </w:pPr>
      <w:r w:rsidRPr="004D4C57">
        <w:rPr>
          <w:sz w:val="22"/>
          <w:szCs w:val="22"/>
        </w:rPr>
        <w:t xml:space="preserve">(21) ASTM D2234/D2234M-10, Standard Practice for Collection of a Gross Sample of Coal, approved January 1, 2010, IBR approved for table 6 to subpart DDDDD and table 5 to subpart </w:t>
      </w:r>
      <w:proofErr w:type="gramStart"/>
      <w:r w:rsidRPr="004D4C57">
        <w:rPr>
          <w:sz w:val="22"/>
          <w:szCs w:val="22"/>
        </w:rPr>
        <w:t>JJJJJJ .</w:t>
      </w:r>
      <w:proofErr w:type="gramEnd"/>
    </w:p>
    <w:p w:rsidR="003F210F" w:rsidRPr="004D4C57" w:rsidRDefault="003F210F" w:rsidP="004D4C57">
      <w:pPr>
        <w:pStyle w:val="NormalWeb"/>
        <w:rPr>
          <w:sz w:val="22"/>
          <w:szCs w:val="22"/>
        </w:rPr>
      </w:pPr>
      <w:r w:rsidRPr="004D4C57">
        <w:rPr>
          <w:sz w:val="22"/>
          <w:szCs w:val="22"/>
        </w:rPr>
        <w:t>(22) ASTM D2369-93, Standard Test Method for Volatile Content of Coatings, IBR approved for appendix A to subpart II.</w:t>
      </w:r>
    </w:p>
    <w:p w:rsidR="003F210F" w:rsidRPr="004D4C57" w:rsidRDefault="003F210F" w:rsidP="004D4C57">
      <w:pPr>
        <w:pStyle w:val="NormalWeb"/>
        <w:rPr>
          <w:sz w:val="22"/>
          <w:szCs w:val="22"/>
        </w:rPr>
      </w:pPr>
      <w:r w:rsidRPr="004D4C57">
        <w:rPr>
          <w:sz w:val="22"/>
          <w:szCs w:val="22"/>
        </w:rPr>
        <w:t>(23) ASTM D2369-95, Standard Test Method for Volatile Content of Coatings, IBR approved for appendix A to subpart II.</w:t>
      </w:r>
    </w:p>
    <w:p w:rsidR="003F210F" w:rsidRPr="004D4C57" w:rsidRDefault="003F210F" w:rsidP="004D4C57">
      <w:pPr>
        <w:pStyle w:val="NormalWeb"/>
        <w:rPr>
          <w:sz w:val="22"/>
          <w:szCs w:val="22"/>
        </w:rPr>
      </w:pPr>
      <w:r w:rsidRPr="004D4C57">
        <w:rPr>
          <w:sz w:val="22"/>
          <w:szCs w:val="22"/>
        </w:rPr>
        <w:t>(24) ASTM D2382-76, Heat of Combustion of Hydrocarbon Fuels by Bomb Calorimeter (High-Precision Method), IBR approved for §63.11(b).</w:t>
      </w:r>
    </w:p>
    <w:p w:rsidR="003F210F" w:rsidRPr="004D4C57" w:rsidRDefault="003F210F" w:rsidP="004D4C57">
      <w:pPr>
        <w:pStyle w:val="NormalWeb"/>
        <w:rPr>
          <w:sz w:val="22"/>
          <w:szCs w:val="22"/>
        </w:rPr>
      </w:pPr>
      <w:r w:rsidRPr="004D4C57">
        <w:rPr>
          <w:sz w:val="22"/>
          <w:szCs w:val="22"/>
        </w:rPr>
        <w:t>(25) ASTM D2382-88, Heat of Combustion of Hydrocarbon Fuels by Bomb Calorimeter (High-Precision Method), IBR approved for §63.11(b).</w:t>
      </w:r>
    </w:p>
    <w:p w:rsidR="003F210F" w:rsidRPr="004D4C57" w:rsidRDefault="003F210F" w:rsidP="004D4C57">
      <w:pPr>
        <w:pStyle w:val="NormalWeb"/>
        <w:rPr>
          <w:sz w:val="22"/>
          <w:szCs w:val="22"/>
        </w:rPr>
      </w:pPr>
      <w:r w:rsidRPr="004D4C57">
        <w:rPr>
          <w:sz w:val="22"/>
          <w:szCs w:val="22"/>
        </w:rPr>
        <w:t>(26) ASTM D2697-86 (Reapproved 1998), Standard Test Method for Volume Nonvolatile Matter in Clear or Pigmented Coatings, IBR approved for §§63.3161(f), 63.3521(b), 63.3941(b), 63.4141(b), 63.4741(b), 63.4941(b), and 63.5160(c).</w:t>
      </w:r>
    </w:p>
    <w:p w:rsidR="003F210F" w:rsidRPr="004D4C57" w:rsidRDefault="003F210F" w:rsidP="004D4C57">
      <w:pPr>
        <w:pStyle w:val="NormalWeb"/>
        <w:rPr>
          <w:sz w:val="22"/>
          <w:szCs w:val="22"/>
        </w:rPr>
      </w:pPr>
      <w:r w:rsidRPr="004D4C57">
        <w:rPr>
          <w:sz w:val="22"/>
          <w:szCs w:val="22"/>
        </w:rPr>
        <w:t>(27) ASTM D2879-83, Standard Method for Vapor Pressure-Temperature Relationship and Initial Decomposition Temperature of Liquids by Isoteniscope, IBR approved for §§63.111, 63.2406, and 63.12005.</w:t>
      </w:r>
    </w:p>
    <w:p w:rsidR="003F210F" w:rsidRPr="004D4C57" w:rsidRDefault="003F210F" w:rsidP="004D4C57">
      <w:pPr>
        <w:pStyle w:val="NormalWeb"/>
        <w:rPr>
          <w:sz w:val="22"/>
          <w:szCs w:val="22"/>
        </w:rPr>
      </w:pPr>
      <w:r w:rsidRPr="004D4C57">
        <w:rPr>
          <w:sz w:val="22"/>
          <w:szCs w:val="22"/>
        </w:rPr>
        <w:t>(28) ASTM D2879-96, Test Method for Vapor Pressure-Temperature Relationship and Initial Decomposition Temperature of Liquids by Isoteniscope, (Approved 1996), IBR approved for §§63.111, 63.2406, and 63.12005.</w:t>
      </w:r>
    </w:p>
    <w:p w:rsidR="003F210F" w:rsidRPr="004D4C57" w:rsidRDefault="003F210F" w:rsidP="004D4C57">
      <w:pPr>
        <w:pStyle w:val="NormalWeb"/>
        <w:rPr>
          <w:sz w:val="22"/>
          <w:szCs w:val="22"/>
        </w:rPr>
      </w:pPr>
      <w:r w:rsidRPr="004D4C57">
        <w:rPr>
          <w:sz w:val="22"/>
          <w:szCs w:val="22"/>
        </w:rPr>
        <w:lastRenderedPageBreak/>
        <w:t>(29) ASTM D2908-74, Standard Practice for Measuring Volatile Organic Matter in Water by Aqueous-Injection Gas Chromatography, Approved June 27, 1974, IBR approved for §63.1329(c).</w:t>
      </w:r>
    </w:p>
    <w:p w:rsidR="003F210F" w:rsidRPr="004D4C57" w:rsidRDefault="003F210F" w:rsidP="004D4C57">
      <w:pPr>
        <w:pStyle w:val="NormalWeb"/>
        <w:rPr>
          <w:sz w:val="22"/>
          <w:szCs w:val="22"/>
        </w:rPr>
      </w:pPr>
      <w:r w:rsidRPr="004D4C57">
        <w:rPr>
          <w:sz w:val="22"/>
          <w:szCs w:val="22"/>
        </w:rPr>
        <w:t>(30) ASTM D2908-91, Standard Practice for Measuring Volatile Organic Matter in Water by Aqueous-Injection Gas Chromatography, Approved December 15, 1991, IBR approved for §63.1329(c).</w:t>
      </w:r>
    </w:p>
    <w:p w:rsidR="003F210F" w:rsidRPr="004D4C57" w:rsidRDefault="003F210F" w:rsidP="004D4C57">
      <w:pPr>
        <w:pStyle w:val="NormalWeb"/>
        <w:rPr>
          <w:sz w:val="22"/>
          <w:szCs w:val="22"/>
        </w:rPr>
      </w:pPr>
      <w:r w:rsidRPr="004D4C57">
        <w:rPr>
          <w:sz w:val="22"/>
          <w:szCs w:val="22"/>
        </w:rPr>
        <w:t>(31) ASTM D2908-91(Reapproved 2001), Standard Practice for Measuring Volatile Organic Matter in Water by Aqueous-Injection Gas Chromatography, Approved December 15, 1991, IBR approved for §63.1329(c).</w:t>
      </w:r>
    </w:p>
    <w:p w:rsidR="003F210F" w:rsidRPr="004D4C57" w:rsidRDefault="003F210F" w:rsidP="004D4C57">
      <w:pPr>
        <w:pStyle w:val="NormalWeb"/>
        <w:rPr>
          <w:sz w:val="22"/>
          <w:szCs w:val="22"/>
        </w:rPr>
      </w:pPr>
      <w:r w:rsidRPr="004D4C57">
        <w:rPr>
          <w:sz w:val="22"/>
          <w:szCs w:val="22"/>
        </w:rPr>
        <w:t>(32) ASTM D2908-91(Reapproved 2005), Standard Practice for Measuring Volatile Organic Matter in Water by Aqueous-Injection Gas Chromatography, Approved December 1, 2005, IBR approved for §63.1329(c).</w:t>
      </w:r>
    </w:p>
    <w:p w:rsidR="003F210F" w:rsidRPr="004D4C57" w:rsidRDefault="003F210F" w:rsidP="004D4C57">
      <w:pPr>
        <w:pStyle w:val="NormalWeb"/>
        <w:rPr>
          <w:sz w:val="22"/>
          <w:szCs w:val="22"/>
        </w:rPr>
      </w:pPr>
      <w:r w:rsidRPr="004D4C57">
        <w:rPr>
          <w:sz w:val="22"/>
          <w:szCs w:val="22"/>
        </w:rPr>
        <w:t>(33) ASTM D2908-91(Reapproved 2011), Standard Practice for Measuring Volatile Organic Matter in Water by Aqueous-Injection Gas Chromatography, Approved May 1, 2011, IBR approved for §63.1329(c).</w:t>
      </w:r>
    </w:p>
    <w:p w:rsidR="003F210F" w:rsidRPr="004D4C57" w:rsidRDefault="003F210F" w:rsidP="004D4C57">
      <w:pPr>
        <w:pStyle w:val="NormalWeb"/>
        <w:rPr>
          <w:sz w:val="22"/>
          <w:szCs w:val="22"/>
        </w:rPr>
      </w:pPr>
      <w:r w:rsidRPr="004D4C57">
        <w:rPr>
          <w:sz w:val="22"/>
          <w:szCs w:val="22"/>
        </w:rPr>
        <w:t>(34) ASTM D2986-95A, “Standard Practice for Evaluation of Air Assay Media by the Monodisperse DOP (Dioctyl Phthalate) Smoke Test,” approved September 10, 1995, IBR approved for section 7.1.1 of Method 315 in appendix A to this part.</w:t>
      </w:r>
    </w:p>
    <w:p w:rsidR="003F210F" w:rsidRPr="004D4C57" w:rsidRDefault="003F210F" w:rsidP="004D4C57">
      <w:pPr>
        <w:pStyle w:val="NormalWeb"/>
        <w:rPr>
          <w:sz w:val="22"/>
          <w:szCs w:val="22"/>
        </w:rPr>
      </w:pPr>
      <w:r w:rsidRPr="004D4C57">
        <w:rPr>
          <w:sz w:val="22"/>
          <w:szCs w:val="22"/>
        </w:rPr>
        <w:t>(35) ASTM D3173-03 (Reapproved 2008), Standard Test Method for Moisture in the Analysis Sample of Coal and Coke, (Approved February 1, 2008), IBR approved for table 6 to subpart DDDDD and table 5 to subpart JJJJJJ.</w:t>
      </w:r>
    </w:p>
    <w:p w:rsidR="003F210F" w:rsidRPr="004D4C57" w:rsidRDefault="003F210F" w:rsidP="004D4C57">
      <w:pPr>
        <w:pStyle w:val="NormalWeb"/>
        <w:rPr>
          <w:sz w:val="22"/>
          <w:szCs w:val="22"/>
        </w:rPr>
      </w:pPr>
      <w:r w:rsidRPr="004D4C57">
        <w:rPr>
          <w:sz w:val="22"/>
          <w:szCs w:val="22"/>
        </w:rPr>
        <w:t>(36) ASTM D3257-93, Standard Test Methods for Aromatics in Mineral Spirits by Gas Chromatography, IBR approved for §63.786(b).</w:t>
      </w:r>
    </w:p>
    <w:p w:rsidR="003F210F" w:rsidRPr="004D4C57" w:rsidRDefault="003F210F" w:rsidP="004D4C57">
      <w:pPr>
        <w:pStyle w:val="NormalWeb"/>
        <w:rPr>
          <w:sz w:val="22"/>
          <w:szCs w:val="22"/>
        </w:rPr>
      </w:pPr>
      <w:r w:rsidRPr="004D4C57">
        <w:rPr>
          <w:sz w:val="22"/>
          <w:szCs w:val="22"/>
        </w:rPr>
        <w:t>(37) ASTM D3370-76, Standard Practices for Sampling Water, Approved August 27, 1976, IBR approved for §63.1329(c).</w:t>
      </w:r>
    </w:p>
    <w:p w:rsidR="003F210F" w:rsidRPr="004D4C57" w:rsidRDefault="003F210F" w:rsidP="004D4C57">
      <w:pPr>
        <w:pStyle w:val="NormalWeb"/>
        <w:rPr>
          <w:sz w:val="22"/>
          <w:szCs w:val="22"/>
        </w:rPr>
      </w:pPr>
      <w:r w:rsidRPr="004D4C57">
        <w:rPr>
          <w:sz w:val="22"/>
          <w:szCs w:val="22"/>
        </w:rPr>
        <w:t>(38) ASTM D3370-95a, Standard Practices for Sampling Water from Closed Conduits, Approved September 10, 1995, IBR approved for §63.1329(c).</w:t>
      </w:r>
    </w:p>
    <w:p w:rsidR="003F210F" w:rsidRPr="004D4C57" w:rsidRDefault="003F210F" w:rsidP="004D4C57">
      <w:pPr>
        <w:pStyle w:val="NormalWeb"/>
        <w:rPr>
          <w:sz w:val="22"/>
          <w:szCs w:val="22"/>
        </w:rPr>
      </w:pPr>
      <w:r w:rsidRPr="004D4C57">
        <w:rPr>
          <w:sz w:val="22"/>
          <w:szCs w:val="22"/>
        </w:rPr>
        <w:t>(39) ASTM D3370-07, Standard Practices for Sampling Water from Closed Conduits, Approved December 1, 2007, IBR approved for §63.1329(c).</w:t>
      </w:r>
    </w:p>
    <w:p w:rsidR="003F210F" w:rsidRPr="004D4C57" w:rsidRDefault="003F210F" w:rsidP="004D4C57">
      <w:pPr>
        <w:pStyle w:val="NormalWeb"/>
        <w:rPr>
          <w:sz w:val="22"/>
          <w:szCs w:val="22"/>
        </w:rPr>
      </w:pPr>
      <w:r w:rsidRPr="004D4C57">
        <w:rPr>
          <w:sz w:val="22"/>
          <w:szCs w:val="22"/>
        </w:rPr>
        <w:t>(40) ASTM D3370-08, Standard Practices for Sampling Water from Closed Conduits, Approved October 1, 2008, IBR approved for §63.1329(c).</w:t>
      </w:r>
    </w:p>
    <w:p w:rsidR="003F210F" w:rsidRPr="004D4C57" w:rsidRDefault="003F210F" w:rsidP="004D4C57">
      <w:pPr>
        <w:pStyle w:val="NormalWeb"/>
        <w:rPr>
          <w:sz w:val="22"/>
          <w:szCs w:val="22"/>
        </w:rPr>
      </w:pPr>
      <w:r w:rsidRPr="004D4C57">
        <w:rPr>
          <w:sz w:val="22"/>
          <w:szCs w:val="22"/>
        </w:rPr>
        <w:t>(41) ASTM D3370-10, Standard Practices for Sampling Water from Closed Conduits, Approved December 1, 2010, IBR approved for §63.1329(c).</w:t>
      </w:r>
    </w:p>
    <w:p w:rsidR="003F210F" w:rsidRPr="004D4C57" w:rsidRDefault="003F210F" w:rsidP="004D4C57">
      <w:pPr>
        <w:pStyle w:val="NormalWeb"/>
        <w:rPr>
          <w:sz w:val="22"/>
          <w:szCs w:val="22"/>
        </w:rPr>
      </w:pPr>
      <w:r w:rsidRPr="004D4C57">
        <w:rPr>
          <w:sz w:val="22"/>
          <w:szCs w:val="22"/>
        </w:rPr>
        <w:t>(42) ASTM D3588-98 (Reapproved 2003), Standard Practice for Calculating Heat Value, Compressibility Factor, and Relative Density of Gaseous Fuels, (Approved May 10, 2003), IBR approved for §§63.772(h) and 63.1282(g).</w:t>
      </w:r>
    </w:p>
    <w:p w:rsidR="003F210F" w:rsidRPr="004D4C57" w:rsidRDefault="003F210F" w:rsidP="004D4C57">
      <w:pPr>
        <w:pStyle w:val="NormalWeb"/>
        <w:rPr>
          <w:sz w:val="22"/>
          <w:szCs w:val="22"/>
        </w:rPr>
      </w:pPr>
      <w:r w:rsidRPr="004D4C57">
        <w:rPr>
          <w:sz w:val="22"/>
          <w:szCs w:val="22"/>
        </w:rPr>
        <w:t>(43) ASTM D3695-88, Standard Test Method for Volatile Alcohols in Water by Direct Aqueous-Injection Gas Chromatography, IBR approved for §63.365(e).</w:t>
      </w:r>
    </w:p>
    <w:p w:rsidR="003F210F" w:rsidRPr="004D4C57" w:rsidRDefault="003F210F" w:rsidP="004D4C57">
      <w:pPr>
        <w:pStyle w:val="NormalWeb"/>
        <w:rPr>
          <w:sz w:val="22"/>
          <w:szCs w:val="22"/>
        </w:rPr>
      </w:pPr>
      <w:r w:rsidRPr="004D4C57">
        <w:rPr>
          <w:sz w:val="22"/>
          <w:szCs w:val="22"/>
        </w:rPr>
        <w:lastRenderedPageBreak/>
        <w:t>(44) ASTM D3792-91, Standard Method for Water Content of Water-Reducible Paints by Direct Injection into a Gas Chromatograph, IBR approved for appendix A to subpart II.</w:t>
      </w:r>
    </w:p>
    <w:p w:rsidR="003F210F" w:rsidRPr="004D4C57" w:rsidRDefault="003F210F" w:rsidP="004D4C57">
      <w:pPr>
        <w:pStyle w:val="NormalWeb"/>
        <w:rPr>
          <w:sz w:val="22"/>
          <w:szCs w:val="22"/>
        </w:rPr>
      </w:pPr>
      <w:r w:rsidRPr="004D4C57">
        <w:rPr>
          <w:sz w:val="22"/>
          <w:szCs w:val="22"/>
        </w:rPr>
        <w:t>(45) ASTM D3912-80, Standard Test Method for Chemical Resistance of Coatings Used in Light-Water Nuclear Power Plants, IBR approved for §63.782.</w:t>
      </w:r>
    </w:p>
    <w:p w:rsidR="003F210F" w:rsidRPr="004D4C57" w:rsidRDefault="003F210F" w:rsidP="004D4C57">
      <w:pPr>
        <w:pStyle w:val="NormalWeb"/>
        <w:rPr>
          <w:sz w:val="22"/>
          <w:szCs w:val="22"/>
        </w:rPr>
      </w:pPr>
      <w:r w:rsidRPr="004D4C57">
        <w:rPr>
          <w:sz w:val="22"/>
          <w:szCs w:val="22"/>
        </w:rPr>
        <w:t>(46) ASTM D4006-11, Standard Test Method for Water in Crude Oil by Distillation, including Annex A1 and Appendix X1, (Approved June 1, 2011), IBR approved for §63.10005(i) and table 6 to subpart DDDDD.</w:t>
      </w:r>
    </w:p>
    <w:p w:rsidR="003F210F" w:rsidRPr="004D4C57" w:rsidRDefault="003F210F" w:rsidP="004D4C57">
      <w:pPr>
        <w:pStyle w:val="NormalWeb"/>
        <w:rPr>
          <w:sz w:val="22"/>
          <w:szCs w:val="22"/>
        </w:rPr>
      </w:pPr>
      <w:r w:rsidRPr="004D4C57">
        <w:rPr>
          <w:sz w:val="22"/>
          <w:szCs w:val="22"/>
        </w:rPr>
        <w:t>(47) ASTM D4017-81, Standard Test Method for Water in Paints and Paint Materials by the Karl Fischer Titration Method, IBR approved for appendix A to subpart II.</w:t>
      </w:r>
    </w:p>
    <w:p w:rsidR="003F210F" w:rsidRPr="004D4C57" w:rsidRDefault="003F210F" w:rsidP="004D4C57">
      <w:pPr>
        <w:pStyle w:val="NormalWeb"/>
        <w:rPr>
          <w:sz w:val="22"/>
          <w:szCs w:val="22"/>
        </w:rPr>
      </w:pPr>
      <w:r w:rsidRPr="004D4C57">
        <w:rPr>
          <w:sz w:val="22"/>
          <w:szCs w:val="22"/>
        </w:rPr>
        <w:t>(48) ASTM D4017-90, Standard Test Method for Water in Paints and Paint Materials by the Karl Fischer Titration Method, IBR approved for appendix A to subpart II.</w:t>
      </w:r>
    </w:p>
    <w:p w:rsidR="003F210F" w:rsidRPr="004D4C57" w:rsidRDefault="003F210F" w:rsidP="004D4C57">
      <w:pPr>
        <w:pStyle w:val="NormalWeb"/>
        <w:rPr>
          <w:sz w:val="22"/>
          <w:szCs w:val="22"/>
        </w:rPr>
      </w:pPr>
      <w:r w:rsidRPr="004D4C57">
        <w:rPr>
          <w:sz w:val="22"/>
          <w:szCs w:val="22"/>
        </w:rPr>
        <w:t>(49) ASTM D4017-96a, Standard Test Method for Water in Paints and Paint Materials by the Karl Fischer Titration Method, IBR approved for appendix A to subpart II.</w:t>
      </w:r>
    </w:p>
    <w:p w:rsidR="003F210F" w:rsidRPr="004D4C57" w:rsidRDefault="003F210F" w:rsidP="004D4C57">
      <w:pPr>
        <w:pStyle w:val="NormalWeb"/>
        <w:rPr>
          <w:sz w:val="22"/>
          <w:szCs w:val="22"/>
        </w:rPr>
      </w:pPr>
      <w:r w:rsidRPr="004D4C57">
        <w:rPr>
          <w:sz w:val="22"/>
          <w:szCs w:val="22"/>
        </w:rPr>
        <w:t>(50) ASTM D4057-06 (Reapproved 2011), Standard Practice for Manual Sampling of Petroleum and Petroleum Products, including Annex A1, (Approved June 1, 2011), IBR approved for §63.10005(i) and table 6 to subpart DDDDD.</w:t>
      </w:r>
    </w:p>
    <w:p w:rsidR="003F210F" w:rsidRPr="004D4C57" w:rsidRDefault="003F210F" w:rsidP="004D4C57">
      <w:pPr>
        <w:pStyle w:val="NormalWeb"/>
        <w:rPr>
          <w:sz w:val="22"/>
          <w:szCs w:val="22"/>
        </w:rPr>
      </w:pPr>
      <w:r w:rsidRPr="004D4C57">
        <w:rPr>
          <w:sz w:val="22"/>
          <w:szCs w:val="22"/>
        </w:rPr>
        <w:t>(51) ASTM D4082-89, Standard Test Method for Effects of Gamma Radiation on Coatings for Use in Light-Water Nuclear Power Plants, IBR approved for §63.782.</w:t>
      </w:r>
    </w:p>
    <w:p w:rsidR="003F210F" w:rsidRPr="004D4C57" w:rsidRDefault="003F210F" w:rsidP="004D4C57">
      <w:pPr>
        <w:pStyle w:val="NormalWeb"/>
        <w:rPr>
          <w:sz w:val="22"/>
          <w:szCs w:val="22"/>
        </w:rPr>
      </w:pPr>
      <w:r w:rsidRPr="004D4C57">
        <w:rPr>
          <w:sz w:val="22"/>
          <w:szCs w:val="22"/>
        </w:rPr>
        <w:t>(52) ASTM D4084-07, Standard Test Method for Analysis of Hydrogen Sulfide in Gaseous Fuels (Lead Acetate Reaction Rate Method), (Approved June 1, 2007), IBR approved for table 6 to subpart DDDDD.</w:t>
      </w:r>
    </w:p>
    <w:p w:rsidR="003F210F" w:rsidRPr="004D4C57" w:rsidRDefault="003F210F" w:rsidP="004D4C57">
      <w:pPr>
        <w:pStyle w:val="NormalWeb"/>
        <w:rPr>
          <w:sz w:val="22"/>
          <w:szCs w:val="22"/>
        </w:rPr>
      </w:pPr>
      <w:r w:rsidRPr="004D4C57">
        <w:rPr>
          <w:sz w:val="22"/>
          <w:szCs w:val="22"/>
        </w:rPr>
        <w:t>(53) ASTM D4177-95 (Reapproved 2010), Standard Practice for Automatic Sampling of Petroleum and Petroleum Products, including Annexes A1 through A6 and Appendices X1 and X2, (Approved May 1, 2010), IBR approved for §63.10005(i) and table 6 to subpart DDDDD.</w:t>
      </w:r>
    </w:p>
    <w:p w:rsidR="003F210F" w:rsidRPr="004D4C57" w:rsidRDefault="003F210F" w:rsidP="004D4C57">
      <w:pPr>
        <w:pStyle w:val="NormalWeb"/>
        <w:rPr>
          <w:sz w:val="22"/>
          <w:szCs w:val="22"/>
        </w:rPr>
      </w:pPr>
      <w:r w:rsidRPr="004D4C57">
        <w:rPr>
          <w:sz w:val="22"/>
          <w:szCs w:val="22"/>
        </w:rPr>
        <w:t>(54) ASTM D4208-02 (Reapproved 2007), Standard Test Method for Total Chlorine in Coal by the Oxygen Bomb Combustion/Ion Selective Electrode Method, approved May 1, 2007, IBR approved for table 6 to subpart DDDDD.</w:t>
      </w:r>
    </w:p>
    <w:p w:rsidR="003F210F" w:rsidRPr="004D4C57" w:rsidRDefault="003F210F" w:rsidP="004D4C57">
      <w:pPr>
        <w:pStyle w:val="NormalWeb"/>
        <w:rPr>
          <w:sz w:val="22"/>
          <w:szCs w:val="22"/>
        </w:rPr>
      </w:pPr>
      <w:r w:rsidRPr="004D4C57">
        <w:rPr>
          <w:sz w:val="22"/>
          <w:szCs w:val="22"/>
        </w:rPr>
        <w:t>(55) ASTM D4239-14e1, “Standard Test Method for Sulfur in the Analysis Sample of Coal and Coke Using High-Temperature Tube Furnace Combustion,” approved March 1, 2014, IBR approved for §63.849(f).</w:t>
      </w:r>
    </w:p>
    <w:p w:rsidR="003F210F" w:rsidRPr="004D4C57" w:rsidRDefault="003F210F" w:rsidP="004D4C57">
      <w:pPr>
        <w:pStyle w:val="NormalWeb"/>
        <w:rPr>
          <w:sz w:val="22"/>
          <w:szCs w:val="22"/>
        </w:rPr>
      </w:pPr>
      <w:r w:rsidRPr="004D4C57">
        <w:rPr>
          <w:sz w:val="22"/>
          <w:szCs w:val="22"/>
        </w:rPr>
        <w:t>(56) ASTM D4256-89, Standard Test Method for Determination of the Decontaminability of Coatings Used in Light-Water Nuclear Power Plants, IBR approved for §63.782.</w:t>
      </w:r>
    </w:p>
    <w:p w:rsidR="003F210F" w:rsidRPr="004D4C57" w:rsidRDefault="003F210F" w:rsidP="004D4C57">
      <w:pPr>
        <w:pStyle w:val="NormalWeb"/>
        <w:rPr>
          <w:sz w:val="22"/>
          <w:szCs w:val="22"/>
        </w:rPr>
      </w:pPr>
      <w:r w:rsidRPr="004D4C57">
        <w:rPr>
          <w:sz w:val="22"/>
          <w:szCs w:val="22"/>
        </w:rPr>
        <w:t>(57) ASTM D4256-89 (Reapproved 94), Standard Test Method for Determination of the Decontaminability of Coatings Used in Light-Water Nuclear Power Plants, IBR approved for §63.782.</w:t>
      </w:r>
    </w:p>
    <w:p w:rsidR="003F210F" w:rsidRPr="004D4C57" w:rsidRDefault="003F210F" w:rsidP="004D4C57">
      <w:pPr>
        <w:pStyle w:val="NormalWeb"/>
        <w:rPr>
          <w:sz w:val="22"/>
          <w:szCs w:val="22"/>
        </w:rPr>
      </w:pPr>
      <w:r w:rsidRPr="004D4C57">
        <w:rPr>
          <w:sz w:val="22"/>
          <w:szCs w:val="22"/>
        </w:rPr>
        <w:t>(58) ASTM D4606-03 (Reapproved 2007), Standard Test Method for Determination of Arsenic and Selenium in Coal by the Hydride Generation/Atomic Absorption Method, (Approved October 1, 2007), IBR approved for table 6 to subpart DDDDD.</w:t>
      </w:r>
    </w:p>
    <w:p w:rsidR="003F210F" w:rsidRPr="004D4C57" w:rsidRDefault="003F210F" w:rsidP="004D4C57">
      <w:pPr>
        <w:pStyle w:val="NormalWeb"/>
        <w:rPr>
          <w:sz w:val="22"/>
          <w:szCs w:val="22"/>
        </w:rPr>
      </w:pPr>
      <w:r w:rsidRPr="004D4C57">
        <w:rPr>
          <w:sz w:val="22"/>
          <w:szCs w:val="22"/>
        </w:rPr>
        <w:lastRenderedPageBreak/>
        <w:t>(59) ASTM D4809-95, Standard Test Method for Heat of Combustion of Liquid Hydrocarbon Fuels by Bomb Calorimeter (Precision Method), IBR approved for §63.11(b).</w:t>
      </w:r>
    </w:p>
    <w:p w:rsidR="003F210F" w:rsidRPr="004D4C57" w:rsidRDefault="003F210F" w:rsidP="004D4C57">
      <w:pPr>
        <w:pStyle w:val="NormalWeb"/>
        <w:rPr>
          <w:sz w:val="22"/>
          <w:szCs w:val="22"/>
        </w:rPr>
      </w:pPr>
      <w:r w:rsidRPr="004D4C57">
        <w:rPr>
          <w:sz w:val="22"/>
          <w:szCs w:val="22"/>
        </w:rPr>
        <w:t>(60) ASTM D4891-89 (Reapproved 2006), Standard Test Method for Heating Value of Gases in Natural Gas Range by Stoichiometric Combustion, (Approved June 1, 2006), IBR approved for §§63.772(h) and 63.1282(g).</w:t>
      </w:r>
    </w:p>
    <w:p w:rsidR="003F210F" w:rsidRPr="004D4C57" w:rsidRDefault="003F210F" w:rsidP="004D4C57">
      <w:pPr>
        <w:pStyle w:val="NormalWeb"/>
        <w:rPr>
          <w:sz w:val="22"/>
          <w:szCs w:val="22"/>
        </w:rPr>
      </w:pPr>
      <w:r w:rsidRPr="004D4C57">
        <w:rPr>
          <w:sz w:val="22"/>
          <w:szCs w:val="22"/>
        </w:rPr>
        <w:t>(61) ASTM D5066-91 (Reapproved 2001), Standard Test Method for Determination of the Transfer Efficiency Under Production Conditions for Spray Application of Automotive Paints-Weight Basis, IBR approved for §63.3161(g).</w:t>
      </w:r>
    </w:p>
    <w:p w:rsidR="003F210F" w:rsidRPr="004D4C57" w:rsidRDefault="003F210F" w:rsidP="004D4C57">
      <w:pPr>
        <w:pStyle w:val="NormalWeb"/>
        <w:rPr>
          <w:sz w:val="22"/>
          <w:szCs w:val="22"/>
        </w:rPr>
      </w:pPr>
      <w:r w:rsidRPr="004D4C57">
        <w:rPr>
          <w:sz w:val="22"/>
          <w:szCs w:val="22"/>
        </w:rPr>
        <w:t>(62) ASTM D5087-02, Standard Test Method for Determining Amount of Volatile Organic Compound (VOC) Released from Solventborne Automotive Coatings and Available for Removal in a VOC Control Device (Abatement), IBR approved for §63.3165(e) and appendix A to subpart IIII.</w:t>
      </w:r>
    </w:p>
    <w:p w:rsidR="003F210F" w:rsidRPr="004D4C57" w:rsidRDefault="003F210F" w:rsidP="004D4C57">
      <w:pPr>
        <w:pStyle w:val="NormalWeb"/>
        <w:rPr>
          <w:sz w:val="22"/>
          <w:szCs w:val="22"/>
        </w:rPr>
      </w:pPr>
      <w:r w:rsidRPr="004D4C57">
        <w:rPr>
          <w:sz w:val="22"/>
          <w:szCs w:val="22"/>
        </w:rPr>
        <w:t>(63) ASTM D5192-09, Standard Practice for Collection of Coal Samples from Core, (Approved June 1, 2009), IBR approved for table 6 to subpart DDDDD.</w:t>
      </w:r>
    </w:p>
    <w:p w:rsidR="003F210F" w:rsidRPr="004D4C57" w:rsidRDefault="003F210F" w:rsidP="004D4C57">
      <w:pPr>
        <w:pStyle w:val="NormalWeb"/>
        <w:rPr>
          <w:sz w:val="22"/>
          <w:szCs w:val="22"/>
        </w:rPr>
      </w:pPr>
      <w:r w:rsidRPr="004D4C57">
        <w:rPr>
          <w:sz w:val="22"/>
          <w:szCs w:val="22"/>
        </w:rPr>
        <w:t>(64) ASTM D5198-09, Standard Practice for Nitric Acid Digestion of Solid Waste, (Approved February 1, 2009), IBR approved for table 6 to subpart DDDDD and table 5 to subpart JJJJJJ.</w:t>
      </w:r>
    </w:p>
    <w:p w:rsidR="003F210F" w:rsidRPr="004D4C57" w:rsidRDefault="003F210F" w:rsidP="004D4C57">
      <w:pPr>
        <w:pStyle w:val="NormalWeb"/>
        <w:rPr>
          <w:sz w:val="22"/>
          <w:szCs w:val="22"/>
        </w:rPr>
      </w:pPr>
      <w:r w:rsidRPr="004D4C57">
        <w:rPr>
          <w:sz w:val="22"/>
          <w:szCs w:val="22"/>
        </w:rPr>
        <w:t>(65) ASTM D5228-92, Standard Test Method for Determination of Butane Working Capacity of Activated Carbon, (Reapproved 2005), IBR approved for §63.11092(b).</w:t>
      </w:r>
    </w:p>
    <w:p w:rsidR="003F210F" w:rsidRPr="004D4C57" w:rsidRDefault="003F210F" w:rsidP="004D4C57">
      <w:pPr>
        <w:pStyle w:val="NormalWeb"/>
        <w:rPr>
          <w:sz w:val="22"/>
          <w:szCs w:val="22"/>
        </w:rPr>
      </w:pPr>
      <w:r w:rsidRPr="004D4C57">
        <w:rPr>
          <w:sz w:val="22"/>
          <w:szCs w:val="22"/>
        </w:rPr>
        <w:t>(66) ASTM D5291-02, Standard Test Methods for Instrumental Determination of Carbon, Hydrogen, and Nitrogen in Petroleum Products and Lubricants, IBR approved for appendix A to subpart MMMM.</w:t>
      </w:r>
    </w:p>
    <w:p w:rsidR="003F210F" w:rsidRPr="004D4C57" w:rsidRDefault="003F210F" w:rsidP="004D4C57">
      <w:pPr>
        <w:pStyle w:val="NormalWeb"/>
        <w:rPr>
          <w:sz w:val="22"/>
          <w:szCs w:val="22"/>
        </w:rPr>
      </w:pPr>
      <w:r w:rsidRPr="004D4C57">
        <w:rPr>
          <w:sz w:val="22"/>
          <w:szCs w:val="22"/>
        </w:rPr>
        <w:t>(67) ASTM D5790-95, Standard Test Method for Measurement of Purgeable Organic Compounds in Water by Capillary Column Gas Chromatography/Mass Spectrometry, IBR approved for Table 4 to subpart UUUU.</w:t>
      </w:r>
    </w:p>
    <w:p w:rsidR="003F210F" w:rsidRPr="004D4C57" w:rsidRDefault="003F210F" w:rsidP="004D4C57">
      <w:pPr>
        <w:pStyle w:val="NormalWeb"/>
        <w:rPr>
          <w:sz w:val="22"/>
          <w:szCs w:val="22"/>
        </w:rPr>
      </w:pPr>
      <w:r w:rsidRPr="004D4C57">
        <w:rPr>
          <w:sz w:val="22"/>
          <w:szCs w:val="22"/>
        </w:rPr>
        <w:t>(68) ASTM D5864-11, Standard Test Method for Determining Aerobic Aquatic Biodegradation of Lubricants or Their Components, (Approved March 1, 2011), IBR approved for table 6 to subpart DDDDD.</w:t>
      </w:r>
    </w:p>
    <w:p w:rsidR="003F210F" w:rsidRPr="004D4C57" w:rsidRDefault="003F210F" w:rsidP="004D4C57">
      <w:pPr>
        <w:pStyle w:val="NormalWeb"/>
        <w:rPr>
          <w:sz w:val="22"/>
          <w:szCs w:val="22"/>
        </w:rPr>
      </w:pPr>
      <w:r w:rsidRPr="004D4C57">
        <w:rPr>
          <w:sz w:val="22"/>
          <w:szCs w:val="22"/>
        </w:rPr>
        <w:t>(69) ASTM D5865-10a, Standard Test Method for Gross Calorific Value of Coal and Coke, (Approved May 1, 2010), IBR approved for table 6 to subpart DDDDD and table 5 to subpart JJJJJJ.</w:t>
      </w:r>
    </w:p>
    <w:p w:rsidR="003F210F" w:rsidRPr="004D4C57" w:rsidRDefault="003F210F" w:rsidP="004D4C57">
      <w:pPr>
        <w:pStyle w:val="NormalWeb"/>
        <w:rPr>
          <w:sz w:val="22"/>
          <w:szCs w:val="22"/>
        </w:rPr>
      </w:pPr>
      <w:r w:rsidRPr="004D4C57">
        <w:rPr>
          <w:sz w:val="22"/>
          <w:szCs w:val="22"/>
        </w:rPr>
        <w:t>(70) ASTM D5954-98 (Reapproved 2006), Test Method for Mercury Sampling and Measurement in Natural Gas by Atomic Absorption Spectroscopy, (Approved December 1, 2006), IBR approved for table 6 to subpart DDDDD.</w:t>
      </w:r>
    </w:p>
    <w:p w:rsidR="003F210F" w:rsidRPr="004D4C57" w:rsidRDefault="003F210F" w:rsidP="004D4C57">
      <w:pPr>
        <w:pStyle w:val="NormalWeb"/>
        <w:rPr>
          <w:sz w:val="22"/>
          <w:szCs w:val="22"/>
        </w:rPr>
      </w:pPr>
      <w:r w:rsidRPr="004D4C57">
        <w:rPr>
          <w:sz w:val="22"/>
          <w:szCs w:val="22"/>
        </w:rPr>
        <w:t>(71) ASTM D5965-02, Standard Test Methods for Specific Gravity of Coating Powders, IBR approved for §§63.3151(b) and 63.3951(c).</w:t>
      </w:r>
    </w:p>
    <w:p w:rsidR="003F210F" w:rsidRPr="004D4C57" w:rsidRDefault="003F210F" w:rsidP="004D4C57">
      <w:pPr>
        <w:pStyle w:val="NormalWeb"/>
        <w:rPr>
          <w:sz w:val="22"/>
          <w:szCs w:val="22"/>
        </w:rPr>
      </w:pPr>
      <w:r w:rsidRPr="004D4C57">
        <w:rPr>
          <w:sz w:val="22"/>
          <w:szCs w:val="22"/>
        </w:rPr>
        <w:t>(72) ASTM D6053-00, Standard Test Method for Determination of Volatile Organic Compound (VOC) Content of Electrical Insulating Varnishes, IBR approved for appendix A to subpart MMMM.</w:t>
      </w:r>
    </w:p>
    <w:p w:rsidR="003F210F" w:rsidRPr="004D4C57" w:rsidRDefault="003F210F" w:rsidP="004D4C57">
      <w:pPr>
        <w:pStyle w:val="NormalWeb"/>
        <w:rPr>
          <w:sz w:val="22"/>
          <w:szCs w:val="22"/>
        </w:rPr>
      </w:pPr>
      <w:r w:rsidRPr="004D4C57">
        <w:rPr>
          <w:sz w:val="22"/>
          <w:szCs w:val="22"/>
        </w:rPr>
        <w:t>(73 ASTM D6093-97 (Reapproved 2003), Standard Test Method for Percent Volume Nonvolatile Matter in Clear or Pigmented Coatings Using a Helium Gas Pycnometer, IBR approved for §§63.3161, 63.3521, 63.3941, 63.4141, 63.4741(b), 63.4941(b), and 63.5160(c).</w:t>
      </w:r>
    </w:p>
    <w:p w:rsidR="003F210F" w:rsidRPr="004D4C57" w:rsidRDefault="003F210F" w:rsidP="004D4C57">
      <w:pPr>
        <w:pStyle w:val="NormalWeb"/>
        <w:rPr>
          <w:sz w:val="22"/>
          <w:szCs w:val="22"/>
        </w:rPr>
      </w:pPr>
      <w:r w:rsidRPr="004D4C57">
        <w:rPr>
          <w:sz w:val="22"/>
          <w:szCs w:val="22"/>
        </w:rPr>
        <w:lastRenderedPageBreak/>
        <w:t>(74) ASTM D6196-03 (Reapproved 2009), Standard Practice for Selection of Sorbents, Sampling, and Thermal Desorption Analysis Procedures for Volatile Organic Compounds in Air, Approved March 1, 2009, IBR approved for appendix A to this part: Method 325A and Method 325B.</w:t>
      </w:r>
    </w:p>
    <w:p w:rsidR="003F210F" w:rsidRPr="004D4C57" w:rsidRDefault="003F210F" w:rsidP="004D4C57">
      <w:pPr>
        <w:pStyle w:val="NormalWeb"/>
        <w:rPr>
          <w:sz w:val="22"/>
          <w:szCs w:val="22"/>
        </w:rPr>
      </w:pPr>
      <w:r w:rsidRPr="004D4C57">
        <w:rPr>
          <w:sz w:val="22"/>
          <w:szCs w:val="22"/>
        </w:rPr>
        <w:t>(75) ASTM D6266-00a, Test Method for Determining the Amount of Volatile Organic Compound (VOC) Released from Waterborne Automotive Coatings and Available for Removal in a VOC Control Device (Abatement), IBR approved for §63.3165(e).</w:t>
      </w:r>
    </w:p>
    <w:p w:rsidR="003F210F" w:rsidRPr="004D4C57" w:rsidRDefault="003F210F" w:rsidP="004D4C57">
      <w:pPr>
        <w:pStyle w:val="NormalWeb"/>
        <w:rPr>
          <w:sz w:val="22"/>
          <w:szCs w:val="22"/>
        </w:rPr>
      </w:pPr>
      <w:r w:rsidRPr="004D4C57">
        <w:rPr>
          <w:sz w:val="22"/>
          <w:szCs w:val="22"/>
        </w:rPr>
        <w:t>(76) ASTM D6323-98 (Reapproved 2003), Standard Guide for Laboratory Subsampling of Media Related to Waste Management Activities, (Approved August 10, 2003), IBR approved for table 6 to subpart DDDDD and table 5 to subpart JJJJJJ.</w:t>
      </w:r>
    </w:p>
    <w:p w:rsidR="003F210F" w:rsidRPr="004D4C57" w:rsidRDefault="003F210F" w:rsidP="004D4C57">
      <w:pPr>
        <w:pStyle w:val="NormalWeb"/>
        <w:rPr>
          <w:sz w:val="22"/>
          <w:szCs w:val="22"/>
        </w:rPr>
      </w:pPr>
      <w:r w:rsidRPr="004D4C57">
        <w:rPr>
          <w:sz w:val="22"/>
          <w:szCs w:val="22"/>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3F210F" w:rsidRPr="004D4C57" w:rsidRDefault="003F210F" w:rsidP="004D4C57">
      <w:pPr>
        <w:pStyle w:val="NormalWeb"/>
        <w:rPr>
          <w:sz w:val="22"/>
          <w:szCs w:val="22"/>
        </w:rPr>
      </w:pPr>
      <w:r w:rsidRPr="004D4C57">
        <w:rPr>
          <w:sz w:val="22"/>
          <w:szCs w:val="22"/>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rsidR="003F210F" w:rsidRPr="004D4C57" w:rsidRDefault="003F210F" w:rsidP="004D4C57">
      <w:pPr>
        <w:pStyle w:val="NormalWeb"/>
        <w:rPr>
          <w:sz w:val="22"/>
          <w:szCs w:val="22"/>
        </w:rPr>
      </w:pPr>
      <w:r w:rsidRPr="004D4C57">
        <w:rPr>
          <w:sz w:val="22"/>
          <w:szCs w:val="22"/>
        </w:rPr>
        <w:t>(79) ASTM D6348-12e1, Standard Test Method for Determination of Gaseous Compounds by Extractive Direct Interface Fourier Transform Infrared (FTIR) Spectroscopy, Approved February 1, 2012, IBR approved for §63.1571(a).</w:t>
      </w:r>
    </w:p>
    <w:p w:rsidR="003F210F" w:rsidRPr="004D4C57" w:rsidRDefault="003F210F" w:rsidP="004D4C57">
      <w:pPr>
        <w:pStyle w:val="NormalWeb"/>
        <w:rPr>
          <w:sz w:val="22"/>
          <w:szCs w:val="22"/>
        </w:rPr>
      </w:pPr>
      <w:r w:rsidRPr="004D4C57">
        <w:rPr>
          <w:sz w:val="22"/>
          <w:szCs w:val="22"/>
        </w:rPr>
        <w:t>(80) ASTM D6350-98 (Reapproved 2003), Standard Test Method for Mercury Sampling and Analysis in Natural Gas by Atomic Fluorescence Spectroscopy, (Approved May 10, 2003), IBR approved for table 6 to subpart DDDDD.</w:t>
      </w:r>
    </w:p>
    <w:p w:rsidR="003F210F" w:rsidRPr="004D4C57" w:rsidRDefault="003F210F" w:rsidP="004D4C57">
      <w:pPr>
        <w:pStyle w:val="NormalWeb"/>
        <w:rPr>
          <w:sz w:val="22"/>
          <w:szCs w:val="22"/>
        </w:rPr>
      </w:pPr>
      <w:r w:rsidRPr="004D4C57">
        <w:rPr>
          <w:sz w:val="22"/>
          <w:szCs w:val="22"/>
        </w:rPr>
        <w:t>(81) ASTM D6357-11, Test Methods for Determination of Trace Elements in Coal, Coke, and Combustion Residues from Coal Utilization Processes by Inductively Coupled Plasma Atomic Emission Spectrometry, (Approved April 1, 2011), IBR approved for table 6 to subpart DDDDD.</w:t>
      </w:r>
    </w:p>
    <w:p w:rsidR="003F210F" w:rsidRPr="004D4C57" w:rsidRDefault="003F210F" w:rsidP="004D4C57">
      <w:pPr>
        <w:pStyle w:val="NormalWeb"/>
        <w:rPr>
          <w:sz w:val="22"/>
          <w:szCs w:val="22"/>
        </w:rPr>
      </w:pPr>
      <w:r w:rsidRPr="004D4C57">
        <w:rPr>
          <w:sz w:val="22"/>
          <w:szCs w:val="22"/>
        </w:rPr>
        <w:t>(82) ASTM D6376-10, “Standard Test Method for Determination of Trace Metals in Petroleum Coke by Wavelength Dispersive X-Ray Fluorescence Spectroscopy,” Approved July 1, 2010, IBR approved for §63.849(f).</w:t>
      </w:r>
    </w:p>
    <w:p w:rsidR="003F210F" w:rsidRPr="004D4C57" w:rsidRDefault="003F210F" w:rsidP="004D4C57">
      <w:pPr>
        <w:pStyle w:val="NormalWeb"/>
        <w:rPr>
          <w:sz w:val="22"/>
          <w:szCs w:val="22"/>
        </w:rPr>
      </w:pPr>
      <w:r w:rsidRPr="004D4C57">
        <w:rPr>
          <w:sz w:val="22"/>
          <w:szCs w:val="22"/>
        </w:rPr>
        <w:t>(83) ASTM D6420-99, Standard Test Method for Determination of Gaseous Organic Compounds by Direct Interface Gas Chromatography-Mass Spectrometry, IBR approved for §§63.5799, 63.5850, and Table 4 of Subpart UUUU.</w:t>
      </w:r>
    </w:p>
    <w:p w:rsidR="003F210F" w:rsidRPr="004D4C57" w:rsidRDefault="003F210F" w:rsidP="004D4C57">
      <w:pPr>
        <w:pStyle w:val="NormalWeb"/>
        <w:rPr>
          <w:sz w:val="22"/>
          <w:szCs w:val="22"/>
        </w:rPr>
      </w:pPr>
      <w:r w:rsidRPr="004D4C57">
        <w:rPr>
          <w:sz w:val="22"/>
          <w:szCs w:val="22"/>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3F210F" w:rsidRPr="004D4C57" w:rsidRDefault="003F210F" w:rsidP="004D4C57">
      <w:pPr>
        <w:pStyle w:val="NormalWeb"/>
        <w:rPr>
          <w:sz w:val="22"/>
          <w:szCs w:val="22"/>
        </w:rPr>
      </w:pPr>
      <w:r w:rsidRPr="004D4C57">
        <w:rPr>
          <w:sz w:val="22"/>
          <w:szCs w:val="22"/>
        </w:rPr>
        <w:t>(85) ASTM D6420-99 (Reapproved 2010), Standard Test Method for Determination of Gaseous Organic Compounds by Direct Interface Gas Chromatography-Mass Spectrometry, Approved October 1, 2010, IBR approved for §63.670(j) and appendix A to this part: Method 325B.</w:t>
      </w:r>
    </w:p>
    <w:p w:rsidR="003F210F" w:rsidRPr="004D4C57" w:rsidRDefault="003F210F" w:rsidP="004D4C57">
      <w:pPr>
        <w:pStyle w:val="NormalWeb"/>
        <w:rPr>
          <w:sz w:val="22"/>
          <w:szCs w:val="22"/>
        </w:rPr>
      </w:pPr>
      <w:r w:rsidRPr="004D4C57">
        <w:rPr>
          <w:sz w:val="22"/>
          <w:szCs w:val="22"/>
        </w:rPr>
        <w:lastRenderedPageBreak/>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3F210F" w:rsidRPr="004D4C57" w:rsidRDefault="003F210F" w:rsidP="004D4C57">
      <w:pPr>
        <w:pStyle w:val="NormalWeb"/>
        <w:rPr>
          <w:sz w:val="22"/>
          <w:szCs w:val="22"/>
        </w:rPr>
      </w:pPr>
      <w:r w:rsidRPr="004D4C57">
        <w:rPr>
          <w:sz w:val="22"/>
          <w:szCs w:val="22"/>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3F210F" w:rsidRPr="004D4C57" w:rsidRDefault="003F210F" w:rsidP="004D4C57">
      <w:pPr>
        <w:pStyle w:val="NormalWeb"/>
        <w:rPr>
          <w:sz w:val="22"/>
          <w:szCs w:val="22"/>
        </w:rPr>
      </w:pPr>
      <w:r w:rsidRPr="004D4C57">
        <w:rPr>
          <w:sz w:val="22"/>
          <w:szCs w:val="22"/>
        </w:rPr>
        <w:t>(88) ASTM D6721-01 (Reapproved 2006), Standard Test Method for Determination of Chlorine in Coal by Oxidative Hydrolysis Microcoulometry, (Approved April 1, 2006), IBR approved for table 6 to subpart DDDDD.</w:t>
      </w:r>
    </w:p>
    <w:p w:rsidR="003F210F" w:rsidRPr="004D4C57" w:rsidRDefault="003F210F" w:rsidP="004D4C57">
      <w:pPr>
        <w:pStyle w:val="NormalWeb"/>
        <w:rPr>
          <w:sz w:val="22"/>
          <w:szCs w:val="22"/>
        </w:rPr>
      </w:pPr>
      <w:r w:rsidRPr="004D4C57">
        <w:rPr>
          <w:sz w:val="22"/>
          <w:szCs w:val="22"/>
        </w:rPr>
        <w:t>(89) ASTM D6722-01 (Reapproved 2006), Standard Test Method for Total Mercury in Coal and Coal Combustion Residues by the Direct Combustion Analysis, (Approved April 1, 2006), IBR approved for Table 6 to subpart DDDDD and Table 5 to subpart JJJJJJ.</w:t>
      </w:r>
    </w:p>
    <w:p w:rsidR="003F210F" w:rsidRPr="004D4C57" w:rsidRDefault="003F210F" w:rsidP="004D4C57">
      <w:pPr>
        <w:pStyle w:val="NormalWeb"/>
        <w:rPr>
          <w:sz w:val="22"/>
          <w:szCs w:val="22"/>
        </w:rPr>
      </w:pPr>
      <w:r w:rsidRPr="004D4C57">
        <w:rPr>
          <w:sz w:val="22"/>
          <w:szCs w:val="22"/>
        </w:rPr>
        <w:t>(90) ASTM D6735-01 (Reapproved 2009), Standard Test Method for Measurement of Gaseous Chlorides and Fluorides from Mineral Calcining Exhaust Sources—Impinger Method, IBR approved for tables 4 and 5 to subpart JJJJJ and tables 4 and 6 to subpart KKKKK.</w:t>
      </w:r>
    </w:p>
    <w:p w:rsidR="003F210F" w:rsidRPr="004D4C57" w:rsidRDefault="003F210F" w:rsidP="004D4C57">
      <w:pPr>
        <w:pStyle w:val="NormalWeb"/>
        <w:rPr>
          <w:sz w:val="22"/>
          <w:szCs w:val="22"/>
        </w:rPr>
      </w:pPr>
      <w:r w:rsidRPr="004D4C57">
        <w:rPr>
          <w:sz w:val="22"/>
          <w:szCs w:val="22"/>
        </w:rPr>
        <w:t>(91) ASTM D6751-11b, Standard Specification for Biodiesel Fuel Blend Stock (B100) for Middle Distillate Fuels, (Approved July 15, 2011), IBR approved for §§63.7575 and 63.11237.</w:t>
      </w:r>
    </w:p>
    <w:p w:rsidR="003F210F" w:rsidRPr="004D4C57" w:rsidRDefault="003F210F" w:rsidP="004D4C57">
      <w:pPr>
        <w:pStyle w:val="NormalWeb"/>
        <w:rPr>
          <w:sz w:val="22"/>
          <w:szCs w:val="22"/>
        </w:rPr>
      </w:pPr>
      <w:r w:rsidRPr="004D4C57">
        <w:rPr>
          <w:sz w:val="22"/>
          <w:szCs w:val="22"/>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rsidR="003F210F" w:rsidRPr="004D4C57" w:rsidRDefault="003F210F" w:rsidP="004D4C57">
      <w:pPr>
        <w:pStyle w:val="NormalWeb"/>
        <w:rPr>
          <w:sz w:val="22"/>
          <w:szCs w:val="22"/>
        </w:rPr>
      </w:pPr>
      <w:r w:rsidRPr="004D4C57">
        <w:rPr>
          <w:sz w:val="22"/>
          <w:szCs w:val="22"/>
        </w:rPr>
        <w:t>(93) ASTM D6883-04, Standard Practice for Manual Sampling of Stationary Coal from Railroad Cars, Barges, Trucks, or Stockpiles, (Approved June 1, 2004), IBR approved for table 6 to subpart DDDDD.</w:t>
      </w:r>
    </w:p>
    <w:p w:rsidR="003F210F" w:rsidRPr="004D4C57" w:rsidRDefault="003F210F" w:rsidP="004D4C57">
      <w:pPr>
        <w:pStyle w:val="NormalWeb"/>
        <w:rPr>
          <w:sz w:val="22"/>
          <w:szCs w:val="22"/>
        </w:rPr>
      </w:pPr>
      <w:r w:rsidRPr="004D4C57">
        <w:rPr>
          <w:sz w:val="22"/>
          <w:szCs w:val="22"/>
        </w:rPr>
        <w:t>(94) ASTM D7430-11ae1, Standard Practice for Mechanical Sampling of Coal, (Approved October 1, 2011), IBR approved for table 6 to subpart DDDDD.</w:t>
      </w:r>
    </w:p>
    <w:p w:rsidR="003F210F" w:rsidRPr="004D4C57" w:rsidRDefault="003F210F" w:rsidP="004D4C57">
      <w:pPr>
        <w:pStyle w:val="NormalWeb"/>
        <w:rPr>
          <w:sz w:val="22"/>
          <w:szCs w:val="22"/>
        </w:rPr>
      </w:pPr>
      <w:r w:rsidRPr="004D4C57">
        <w:rPr>
          <w:sz w:val="22"/>
          <w:szCs w:val="22"/>
        </w:rPr>
        <w:t>(95) ASTM D7520-13, Standard Test Method for Determining the Opacity of a Plume in an Outdoor Ambient Atmosphere, approved December 1, 2013. IBR approved for §§63.1510(f), 63.1511(d), 63.1512(a), 63.1517(b) and 63.1625(b).</w:t>
      </w:r>
    </w:p>
    <w:p w:rsidR="003F210F" w:rsidRPr="004D4C57" w:rsidRDefault="003F210F" w:rsidP="004D4C57">
      <w:pPr>
        <w:pStyle w:val="NormalWeb"/>
        <w:rPr>
          <w:sz w:val="22"/>
          <w:szCs w:val="22"/>
        </w:rPr>
      </w:pPr>
      <w:r w:rsidRPr="004D4C57">
        <w:rPr>
          <w:sz w:val="22"/>
          <w:szCs w:val="22"/>
        </w:rPr>
        <w:t>(96) ASTM D7520-16, Standard Test Method for Determining the Opacity of a Plume in the Outdoor Ambient Atmosphere, approved April 1, 2016, IBR approved for §§63.1625(b).</w:t>
      </w:r>
    </w:p>
    <w:p w:rsidR="003F210F" w:rsidRPr="004D4C57" w:rsidRDefault="003F210F" w:rsidP="004D4C57">
      <w:pPr>
        <w:pStyle w:val="NormalWeb"/>
        <w:rPr>
          <w:sz w:val="22"/>
          <w:szCs w:val="22"/>
        </w:rPr>
      </w:pPr>
      <w:r w:rsidRPr="004D4C57">
        <w:rPr>
          <w:sz w:val="22"/>
          <w:szCs w:val="22"/>
        </w:rPr>
        <w:t>(97) ASTM E145-94 (Reapproved 2001), Standard Specification for Gravity-Convection and Forced-Ventilation Ovens, IBR approved for appendix A to subpart PPPP.</w:t>
      </w:r>
    </w:p>
    <w:p w:rsidR="003F210F" w:rsidRPr="004D4C57" w:rsidRDefault="003F210F" w:rsidP="004D4C57">
      <w:pPr>
        <w:pStyle w:val="NormalWeb"/>
        <w:rPr>
          <w:sz w:val="22"/>
          <w:szCs w:val="22"/>
        </w:rPr>
      </w:pPr>
      <w:r w:rsidRPr="004D4C57">
        <w:rPr>
          <w:sz w:val="22"/>
          <w:szCs w:val="22"/>
        </w:rPr>
        <w:t>(98) ASTM E180-93, Standard Practice for Determining the Precision of ASTM Methods for Analysis and Testing of Industrial Chemicals, IBR approved for §63.786(b).</w:t>
      </w:r>
    </w:p>
    <w:p w:rsidR="003F210F" w:rsidRPr="004D4C57" w:rsidRDefault="003F210F" w:rsidP="004D4C57">
      <w:pPr>
        <w:pStyle w:val="NormalWeb"/>
        <w:rPr>
          <w:sz w:val="22"/>
          <w:szCs w:val="22"/>
        </w:rPr>
      </w:pPr>
      <w:r w:rsidRPr="004D4C57">
        <w:rPr>
          <w:sz w:val="22"/>
          <w:szCs w:val="22"/>
        </w:rPr>
        <w:lastRenderedPageBreak/>
        <w:t>(99) ASTM E260-91, General Practice for Packed Column Gas Chromatography, IBR approved for §§63.750(b) and 63.786(b).</w:t>
      </w:r>
    </w:p>
    <w:p w:rsidR="003F210F" w:rsidRPr="004D4C57" w:rsidRDefault="003F210F" w:rsidP="004D4C57">
      <w:pPr>
        <w:pStyle w:val="NormalWeb"/>
        <w:rPr>
          <w:sz w:val="22"/>
          <w:szCs w:val="22"/>
        </w:rPr>
      </w:pPr>
      <w:r w:rsidRPr="004D4C57">
        <w:rPr>
          <w:sz w:val="22"/>
          <w:szCs w:val="22"/>
        </w:rPr>
        <w:t>(100) ASTM E260-96, General Practice for Packed Column Gas Chromatography, IBR approved for §§63.750(b) and 63.786(b).</w:t>
      </w:r>
    </w:p>
    <w:p w:rsidR="003F210F" w:rsidRPr="004D4C57" w:rsidRDefault="003F210F" w:rsidP="004D4C57">
      <w:pPr>
        <w:pStyle w:val="NormalWeb"/>
        <w:rPr>
          <w:sz w:val="22"/>
          <w:szCs w:val="22"/>
        </w:rPr>
      </w:pPr>
      <w:r w:rsidRPr="004D4C57">
        <w:rPr>
          <w:sz w:val="22"/>
          <w:szCs w:val="22"/>
        </w:rPr>
        <w:t>(101) ASTM E515-95 (Reapproved 2000), Standard Test Method for Leaks Using Bubble Emission Techniques, IBR approved for §63.425(i).</w:t>
      </w:r>
    </w:p>
    <w:p w:rsidR="003F210F" w:rsidRPr="004D4C57" w:rsidRDefault="003F210F" w:rsidP="004D4C57">
      <w:pPr>
        <w:pStyle w:val="NormalWeb"/>
        <w:rPr>
          <w:sz w:val="22"/>
          <w:szCs w:val="22"/>
        </w:rPr>
      </w:pPr>
      <w:r w:rsidRPr="004D4C57">
        <w:rPr>
          <w:sz w:val="22"/>
          <w:szCs w:val="22"/>
        </w:rPr>
        <w:t>(102) ASTM E711-87 (Reapproved 2004), Standard Test Method for Gross Calorific Value of Refuse-Derived Fuel by the Bomb Calorimeter, (Approved August 28, 1987), IBR approved for table 6 to subpart DDDDD and table 5 to subpart JJJJJJ.</w:t>
      </w:r>
    </w:p>
    <w:p w:rsidR="003F210F" w:rsidRPr="004D4C57" w:rsidRDefault="003F210F" w:rsidP="004D4C57">
      <w:pPr>
        <w:pStyle w:val="NormalWeb"/>
        <w:rPr>
          <w:sz w:val="22"/>
          <w:szCs w:val="22"/>
        </w:rPr>
      </w:pPr>
      <w:r w:rsidRPr="004D4C57">
        <w:rPr>
          <w:sz w:val="22"/>
          <w:szCs w:val="22"/>
        </w:rPr>
        <w:t>(103) ASTM E776-87 (Reapproved 2009), Standard Test Method for Forms of Chlorine in Refuse-Derived Fuel, (Approved July 1, 2009), IBR approved for table 6 to subpart DDDDD.</w:t>
      </w:r>
    </w:p>
    <w:p w:rsidR="003F210F" w:rsidRPr="004D4C57" w:rsidRDefault="003F210F" w:rsidP="004D4C57">
      <w:pPr>
        <w:pStyle w:val="NormalWeb"/>
        <w:rPr>
          <w:sz w:val="22"/>
          <w:szCs w:val="22"/>
        </w:rPr>
      </w:pPr>
      <w:r w:rsidRPr="004D4C57">
        <w:rPr>
          <w:sz w:val="22"/>
          <w:szCs w:val="22"/>
        </w:rPr>
        <w:t>(104) ASTM E871-82 (Reapproved 2006), Standard Test Method for Moisture Analysis of Particulate Wood Fuels, (Approved November 1, 2006), IBR approved for table 6 to subpart DDDDD and table 5 to subpart JJJJJJ.</w:t>
      </w:r>
    </w:p>
    <w:p w:rsidR="003F210F" w:rsidRPr="004D4C57" w:rsidRDefault="003F210F" w:rsidP="004D4C57">
      <w:pPr>
        <w:pStyle w:val="NormalWeb"/>
        <w:rPr>
          <w:sz w:val="22"/>
          <w:szCs w:val="22"/>
        </w:rPr>
      </w:pPr>
      <w:r w:rsidRPr="004D4C57">
        <w:rPr>
          <w:sz w:val="22"/>
          <w:szCs w:val="22"/>
        </w:rPr>
        <w:t>(105) ASTM UOP539-12, Refinery Gas Analysis by GC, Copyright 2012 (to UOP), IBR approved for §63.670(j).</w:t>
      </w:r>
    </w:p>
    <w:p w:rsidR="003F210F" w:rsidRPr="004D4C57" w:rsidRDefault="003F210F" w:rsidP="004D4C57">
      <w:pPr>
        <w:pStyle w:val="NormalWeb"/>
        <w:rPr>
          <w:sz w:val="22"/>
          <w:szCs w:val="22"/>
        </w:rPr>
      </w:pPr>
      <w:r w:rsidRPr="004D4C57">
        <w:rPr>
          <w:sz w:val="22"/>
          <w:szCs w:val="22"/>
        </w:rPr>
        <w:t xml:space="preserve">(i) Bay Area Air Quality Management District (BAAQMD), 939 Ellis Street, San Francisco, California 94109, </w:t>
      </w:r>
      <w:r w:rsidRPr="004D4C57">
        <w:rPr>
          <w:i/>
          <w:iCs/>
          <w:sz w:val="22"/>
          <w:szCs w:val="22"/>
        </w:rPr>
        <w:t>http://www.arb.ca.gov/DRDB/BA/CURHTML/ST/st30.pdf.</w:t>
      </w:r>
    </w:p>
    <w:p w:rsidR="003F210F" w:rsidRPr="004D4C57" w:rsidRDefault="003F210F" w:rsidP="004D4C57">
      <w:pPr>
        <w:pStyle w:val="NormalWeb"/>
        <w:rPr>
          <w:sz w:val="22"/>
          <w:szCs w:val="22"/>
        </w:rPr>
      </w:pPr>
      <w:r w:rsidRPr="004D4C57">
        <w:rPr>
          <w:sz w:val="22"/>
          <w:szCs w:val="22"/>
        </w:rPr>
        <w:t>(1) “BAAQMD Source Test Procedure ST-30—Static Pressure Integrity Test, Underground Storage Tanks,” adopted November 30, 1983, and amended December 21, 1994, IBR approved for §63.11120(a).</w:t>
      </w:r>
    </w:p>
    <w:p w:rsidR="003F210F" w:rsidRPr="004D4C57" w:rsidRDefault="003F210F" w:rsidP="004D4C57">
      <w:pPr>
        <w:pStyle w:val="NormalWeb"/>
        <w:rPr>
          <w:sz w:val="22"/>
          <w:szCs w:val="22"/>
        </w:rPr>
      </w:pPr>
      <w:r w:rsidRPr="004D4C57">
        <w:rPr>
          <w:sz w:val="22"/>
          <w:szCs w:val="22"/>
        </w:rPr>
        <w:t>(2) [Reserved]</w:t>
      </w:r>
    </w:p>
    <w:p w:rsidR="003F210F" w:rsidRPr="004D4C57" w:rsidRDefault="003F210F" w:rsidP="004D4C57">
      <w:pPr>
        <w:pStyle w:val="NormalWeb"/>
        <w:rPr>
          <w:sz w:val="22"/>
          <w:szCs w:val="22"/>
        </w:rPr>
      </w:pPr>
      <w:r w:rsidRPr="004D4C57">
        <w:rPr>
          <w:sz w:val="22"/>
          <w:szCs w:val="22"/>
        </w:rPr>
        <w:t>(j) British Standards Institute, 389 Chiswick High Road, London W4 4AL, United Kingdom.</w:t>
      </w:r>
    </w:p>
    <w:p w:rsidR="003F210F" w:rsidRPr="004D4C57" w:rsidRDefault="003F210F" w:rsidP="004D4C57">
      <w:pPr>
        <w:pStyle w:val="NormalWeb"/>
        <w:rPr>
          <w:sz w:val="22"/>
          <w:szCs w:val="22"/>
        </w:rPr>
      </w:pPr>
      <w:r w:rsidRPr="004D4C57">
        <w:rPr>
          <w:sz w:val="22"/>
          <w:szCs w:val="22"/>
        </w:rPr>
        <w:t>(1) BS EN 1593:1999, Non-destructive Testing: Leak Testing—Bubble Emission Techniques, IBR approved for §63.425(i).</w:t>
      </w:r>
    </w:p>
    <w:p w:rsidR="003F210F" w:rsidRPr="004D4C57" w:rsidRDefault="003F210F" w:rsidP="004D4C57">
      <w:pPr>
        <w:pStyle w:val="NormalWeb"/>
        <w:rPr>
          <w:sz w:val="22"/>
          <w:szCs w:val="22"/>
        </w:rPr>
      </w:pPr>
      <w:r w:rsidRPr="004D4C57">
        <w:rPr>
          <w:sz w:val="22"/>
          <w:szCs w:val="22"/>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rsidR="003F210F" w:rsidRPr="004D4C57" w:rsidRDefault="003F210F" w:rsidP="004D4C57">
      <w:pPr>
        <w:pStyle w:val="NormalWeb"/>
        <w:rPr>
          <w:sz w:val="22"/>
          <w:szCs w:val="22"/>
        </w:rPr>
      </w:pPr>
      <w:r w:rsidRPr="004D4C57">
        <w:rPr>
          <w:sz w:val="22"/>
          <w:szCs w:val="22"/>
        </w:rPr>
        <w:t xml:space="preserve">(k) California Air Resources Board (CARB), 1001 I Street, P.O. Box 2815, Sacramento, CA 95812-2815, Telephone (916) 327-0900, </w:t>
      </w:r>
      <w:r w:rsidRPr="004D4C57">
        <w:rPr>
          <w:i/>
          <w:iCs/>
          <w:sz w:val="22"/>
          <w:szCs w:val="22"/>
        </w:rPr>
        <w:t>http://www.arb.ca.gov/</w:t>
      </w:r>
      <w:r w:rsidRPr="004D4C57">
        <w:rPr>
          <w:sz w:val="22"/>
          <w:szCs w:val="22"/>
        </w:rPr>
        <w:t>.</w:t>
      </w:r>
    </w:p>
    <w:p w:rsidR="003F210F" w:rsidRPr="004D4C57" w:rsidRDefault="003F210F" w:rsidP="004D4C57">
      <w:pPr>
        <w:pStyle w:val="NormalWeb"/>
        <w:rPr>
          <w:sz w:val="22"/>
          <w:szCs w:val="22"/>
        </w:rPr>
      </w:pPr>
      <w:r w:rsidRPr="004D4C57">
        <w:rPr>
          <w:sz w:val="22"/>
          <w:szCs w:val="22"/>
        </w:rPr>
        <w:t>(1) Method 428, “Determination Of Polychlorinated Dibenzo-P-Dioxin (PCDD), Polychlorinated Dibenzofuran (PCDF), and Polychlorinated Biphenyle Emissions from Stationary Sources,” amended September 12, 1990, IBR approved for §63.849(a</w:t>
      </w:r>
      <w:proofErr w:type="gramStart"/>
      <w:r w:rsidRPr="004D4C57">
        <w:rPr>
          <w:sz w:val="22"/>
          <w:szCs w:val="22"/>
        </w:rPr>
        <w:t>)(</w:t>
      </w:r>
      <w:proofErr w:type="gramEnd"/>
      <w:r w:rsidRPr="004D4C57">
        <w:rPr>
          <w:sz w:val="22"/>
          <w:szCs w:val="22"/>
        </w:rPr>
        <w:t>13) and (14).</w:t>
      </w:r>
    </w:p>
    <w:p w:rsidR="003F210F" w:rsidRPr="004D4C57" w:rsidRDefault="003F210F" w:rsidP="004D4C57">
      <w:pPr>
        <w:pStyle w:val="NormalWeb"/>
        <w:rPr>
          <w:sz w:val="22"/>
          <w:szCs w:val="22"/>
        </w:rPr>
      </w:pPr>
      <w:r w:rsidRPr="004D4C57">
        <w:rPr>
          <w:sz w:val="22"/>
          <w:szCs w:val="22"/>
        </w:rPr>
        <w:t>(2) Method 429, Determination of Polycyclic Aromatic Hydrocarbon (PAH) Emissions from Stationary Sources, Adopted September 12, 1989, Amended July 28, 1997, IBR approved for §63.1625(b).</w:t>
      </w:r>
    </w:p>
    <w:p w:rsidR="003F210F" w:rsidRPr="004D4C57" w:rsidRDefault="003F210F" w:rsidP="004D4C57">
      <w:pPr>
        <w:pStyle w:val="NormalWeb"/>
        <w:rPr>
          <w:sz w:val="22"/>
          <w:szCs w:val="22"/>
        </w:rPr>
      </w:pPr>
      <w:r w:rsidRPr="004D4C57">
        <w:rPr>
          <w:sz w:val="22"/>
          <w:szCs w:val="22"/>
        </w:rPr>
        <w:lastRenderedPageBreak/>
        <w:t>(3) California Air Resources Board Vapor Recovery Test Procedure TP-201.1</w:t>
      </w:r>
      <w:proofErr w:type="gramStart"/>
      <w:r w:rsidRPr="004D4C57">
        <w:rPr>
          <w:sz w:val="22"/>
          <w:szCs w:val="22"/>
        </w:rPr>
        <w:t>—“</w:t>
      </w:r>
      <w:proofErr w:type="gramEnd"/>
      <w:r w:rsidRPr="004D4C57">
        <w:rPr>
          <w:sz w:val="22"/>
          <w:szCs w:val="22"/>
        </w:rPr>
        <w:t>Volumetric Efficiency for Phase I Vapor Recovery Systems,” adopted April 12, 1996, and amended February 1, 2001 and October 8, 2003, IBR approved for §63.11120(b).</w:t>
      </w:r>
    </w:p>
    <w:p w:rsidR="003F210F" w:rsidRPr="004D4C57" w:rsidRDefault="003F210F" w:rsidP="004D4C57">
      <w:pPr>
        <w:pStyle w:val="NormalWeb"/>
        <w:rPr>
          <w:sz w:val="22"/>
          <w:szCs w:val="22"/>
        </w:rPr>
      </w:pPr>
      <w:r w:rsidRPr="004D4C57">
        <w:rPr>
          <w:sz w:val="22"/>
          <w:szCs w:val="22"/>
        </w:rPr>
        <w:t>(4) California Air Resources Board Vapor Recovery Test Procedure TP-201.1E</w:t>
      </w:r>
      <w:proofErr w:type="gramStart"/>
      <w:r w:rsidRPr="004D4C57">
        <w:rPr>
          <w:sz w:val="22"/>
          <w:szCs w:val="22"/>
        </w:rPr>
        <w:t>—“</w:t>
      </w:r>
      <w:proofErr w:type="gramEnd"/>
      <w:r w:rsidRPr="004D4C57">
        <w:rPr>
          <w:sz w:val="22"/>
          <w:szCs w:val="22"/>
        </w:rPr>
        <w:t>Leak Rate and Cracking Pressure of Pressure/Vacuum Vent Valves,” adopted October 8, 2003, IBR approved for §63.11120(a).</w:t>
      </w:r>
    </w:p>
    <w:p w:rsidR="003F210F" w:rsidRPr="004D4C57" w:rsidRDefault="003F210F" w:rsidP="004D4C57">
      <w:pPr>
        <w:pStyle w:val="NormalWeb"/>
        <w:rPr>
          <w:sz w:val="22"/>
          <w:szCs w:val="22"/>
        </w:rPr>
      </w:pPr>
      <w:r w:rsidRPr="004D4C57">
        <w:rPr>
          <w:sz w:val="22"/>
          <w:szCs w:val="22"/>
        </w:rPr>
        <w:t>(5) California Air Resources Board Vapor Recovery Test Procedure TP-201.3</w:t>
      </w:r>
      <w:proofErr w:type="gramStart"/>
      <w:r w:rsidRPr="004D4C57">
        <w:rPr>
          <w:sz w:val="22"/>
          <w:szCs w:val="22"/>
        </w:rPr>
        <w:t>—“</w:t>
      </w:r>
      <w:proofErr w:type="gramEnd"/>
      <w:r w:rsidRPr="004D4C57">
        <w:rPr>
          <w:sz w:val="22"/>
          <w:szCs w:val="22"/>
        </w:rPr>
        <w:t>Determination of 2-Inch WC Static Pressure Performance of Vapor Recovery Systems of Dispensing Facilities,” adopted April 12, 1996 and amended March 17, 1999, IBR approved for §63.11120(a).</w:t>
      </w:r>
    </w:p>
    <w:p w:rsidR="003F210F" w:rsidRPr="004D4C57" w:rsidRDefault="003F210F" w:rsidP="004D4C57">
      <w:pPr>
        <w:pStyle w:val="NormalWeb"/>
        <w:rPr>
          <w:sz w:val="22"/>
          <w:szCs w:val="22"/>
        </w:rPr>
      </w:pPr>
      <w:r w:rsidRPr="004D4C57">
        <w:rPr>
          <w:sz w:val="22"/>
          <w:szCs w:val="22"/>
        </w:rPr>
        <w:t>(l) Environmental Protection Agency. Air and Radiation Docket and Information Center, 1200 Pennsylvania Avenue NW., Washington, DC 20460, telephone number (202) 566-1745.</w:t>
      </w:r>
    </w:p>
    <w:p w:rsidR="003F210F" w:rsidRPr="004D4C57" w:rsidRDefault="003F210F" w:rsidP="004D4C57">
      <w:pPr>
        <w:pStyle w:val="NormalWeb"/>
        <w:rPr>
          <w:sz w:val="22"/>
          <w:szCs w:val="22"/>
        </w:rPr>
      </w:pPr>
      <w:r w:rsidRPr="004D4C57">
        <w:rPr>
          <w:sz w:val="22"/>
          <w:szCs w:val="22"/>
        </w:rPr>
        <w:t xml:space="preserve">(1) </w:t>
      </w:r>
      <w:r w:rsidRPr="004D4C57">
        <w:rPr>
          <w:i/>
          <w:iCs/>
          <w:sz w:val="22"/>
          <w:szCs w:val="22"/>
        </w:rPr>
        <w:t>California Regulatory Requirements Applicable to the Air Toxics Program,</w:t>
      </w:r>
      <w:r w:rsidRPr="004D4C57">
        <w:rPr>
          <w:sz w:val="22"/>
          <w:szCs w:val="22"/>
        </w:rPr>
        <w:t xml:space="preserve"> November 16, 2010, IBR approved for §63.99(a).</w:t>
      </w:r>
    </w:p>
    <w:p w:rsidR="003F210F" w:rsidRPr="004D4C57" w:rsidRDefault="003F210F" w:rsidP="004D4C57">
      <w:pPr>
        <w:pStyle w:val="NormalWeb"/>
        <w:rPr>
          <w:sz w:val="22"/>
          <w:szCs w:val="22"/>
        </w:rPr>
      </w:pPr>
      <w:r w:rsidRPr="004D4C57">
        <w:rPr>
          <w:sz w:val="22"/>
          <w:szCs w:val="22"/>
        </w:rPr>
        <w:t xml:space="preserve">(2) New Jersey's </w:t>
      </w:r>
      <w:r w:rsidRPr="004D4C57">
        <w:rPr>
          <w:i/>
          <w:iCs/>
          <w:sz w:val="22"/>
          <w:szCs w:val="22"/>
        </w:rPr>
        <w:t>Toxic Catastrophe Prevention Act Program,</w:t>
      </w:r>
      <w:r w:rsidRPr="004D4C57">
        <w:rPr>
          <w:sz w:val="22"/>
          <w:szCs w:val="22"/>
        </w:rPr>
        <w:t xml:space="preserve"> (July 20, 1998), IBR approved for §63.99(a).</w:t>
      </w:r>
    </w:p>
    <w:p w:rsidR="003F210F" w:rsidRPr="004D4C57" w:rsidRDefault="003F210F" w:rsidP="004D4C57">
      <w:pPr>
        <w:pStyle w:val="NormalWeb"/>
        <w:rPr>
          <w:sz w:val="22"/>
          <w:szCs w:val="22"/>
        </w:rPr>
      </w:pPr>
      <w:r w:rsidRPr="004D4C57">
        <w:rPr>
          <w:sz w:val="22"/>
          <w:szCs w:val="22"/>
        </w:rPr>
        <w:t>(3) Delaware Department of Natural Resources and Environmental Control, Division of Air and Waste Management, Accidental Release Prevention Regulation, sections 1 through 5 and sections 7 through 14, effective January 11, 1999, IBR approved for §63.99(a).</w:t>
      </w:r>
    </w:p>
    <w:p w:rsidR="003F210F" w:rsidRPr="004D4C57" w:rsidRDefault="003F210F" w:rsidP="004D4C57">
      <w:pPr>
        <w:pStyle w:val="NormalWeb"/>
        <w:rPr>
          <w:sz w:val="22"/>
          <w:szCs w:val="22"/>
        </w:rPr>
      </w:pPr>
      <w:r w:rsidRPr="004D4C57">
        <w:rPr>
          <w:sz w:val="22"/>
          <w:szCs w:val="22"/>
        </w:rPr>
        <w:t>(4) State of Delaware Regulations Governing the Control of Air Pollution (October 2000), IBR approved for §63.99(a).</w:t>
      </w:r>
    </w:p>
    <w:p w:rsidR="003F210F" w:rsidRPr="004D4C57" w:rsidRDefault="003F210F" w:rsidP="004D4C57">
      <w:pPr>
        <w:pStyle w:val="NormalWeb"/>
        <w:rPr>
          <w:sz w:val="22"/>
          <w:szCs w:val="22"/>
        </w:rPr>
      </w:pPr>
      <w:r w:rsidRPr="004D4C57">
        <w:rPr>
          <w:sz w:val="22"/>
          <w:szCs w:val="22"/>
        </w:rPr>
        <w:t>(5) Massachusetts Department of Environmental Protection regulations at 310 CMR 7.26(</w:t>
      </w:r>
      <w:proofErr w:type="gramStart"/>
      <w:r w:rsidRPr="004D4C57">
        <w:rPr>
          <w:sz w:val="22"/>
          <w:szCs w:val="22"/>
        </w:rPr>
        <w:t>10)-(</w:t>
      </w:r>
      <w:proofErr w:type="gramEnd"/>
      <w:r w:rsidRPr="004D4C57">
        <w:rPr>
          <w:sz w:val="22"/>
          <w:szCs w:val="22"/>
        </w:rPr>
        <w:t>16), Air Pollution Control, effective as of September 5, 2008, corrected March 6, 2009, and 310 CMR 70.00, Environmental Results Program Certification, effective as of December 28, 2007. IBR approved for §63.99(a).</w:t>
      </w:r>
    </w:p>
    <w:p w:rsidR="003F210F" w:rsidRPr="004D4C57" w:rsidRDefault="003F210F" w:rsidP="004D4C57">
      <w:pPr>
        <w:pStyle w:val="NormalWeb"/>
        <w:rPr>
          <w:sz w:val="22"/>
          <w:szCs w:val="22"/>
        </w:rPr>
      </w:pPr>
      <w:r w:rsidRPr="004D4C57">
        <w:rPr>
          <w:sz w:val="22"/>
          <w:szCs w:val="22"/>
        </w:rPr>
        <w:t xml:space="preserve">(6)(i) New Hampshire Regulations Applicable to Hazardous Air Pollutants, </w:t>
      </w:r>
      <w:proofErr w:type="gramStart"/>
      <w:r w:rsidRPr="004D4C57">
        <w:rPr>
          <w:sz w:val="22"/>
          <w:szCs w:val="22"/>
        </w:rPr>
        <w:t>March,</w:t>
      </w:r>
      <w:proofErr w:type="gramEnd"/>
      <w:r w:rsidRPr="004D4C57">
        <w:rPr>
          <w:sz w:val="22"/>
          <w:szCs w:val="22"/>
        </w:rPr>
        <w:t xml:space="preserve"> 2003. IBR approved for §63.99(a).</w:t>
      </w:r>
    </w:p>
    <w:p w:rsidR="003F210F" w:rsidRPr="004D4C57" w:rsidRDefault="003F210F" w:rsidP="004D4C57">
      <w:pPr>
        <w:pStyle w:val="NormalWeb"/>
        <w:rPr>
          <w:sz w:val="22"/>
          <w:szCs w:val="22"/>
        </w:rPr>
      </w:pPr>
      <w:r w:rsidRPr="004D4C57">
        <w:rPr>
          <w:sz w:val="22"/>
          <w:szCs w:val="22"/>
        </w:rPr>
        <w:t>(ii) New Hampshire Regulations Applicable to Hazardous Air Pollutants, September 2006. IBR approved for §63.99(a).</w:t>
      </w:r>
    </w:p>
    <w:p w:rsidR="003F210F" w:rsidRPr="004D4C57" w:rsidRDefault="003F210F" w:rsidP="004D4C57">
      <w:pPr>
        <w:pStyle w:val="NormalWeb"/>
        <w:rPr>
          <w:sz w:val="22"/>
          <w:szCs w:val="22"/>
        </w:rPr>
      </w:pPr>
      <w:r w:rsidRPr="004D4C57">
        <w:rPr>
          <w:sz w:val="22"/>
          <w:szCs w:val="22"/>
        </w:rPr>
        <w:t>(7) Maine Department of Environmental Protection regulations at Chapter 125, Perchloroethylene Dry Cleaner Regulation, effective as of June 2, 1991, last amended on June 24, 2009. IBR approved for §63.99(a).</w:t>
      </w:r>
    </w:p>
    <w:p w:rsidR="003F210F" w:rsidRPr="004D4C57" w:rsidRDefault="003F210F" w:rsidP="004D4C57">
      <w:pPr>
        <w:pStyle w:val="NormalWeb"/>
        <w:rPr>
          <w:sz w:val="22"/>
          <w:szCs w:val="22"/>
        </w:rPr>
      </w:pPr>
      <w:r w:rsidRPr="004D4C57">
        <w:rPr>
          <w:sz w:val="22"/>
          <w:szCs w:val="22"/>
        </w:rPr>
        <w:t xml:space="preserve">(8) California South Coast Air Quality Management District's “Spray Equipment Transfer Efficiency Test Procedure for Equipment User, </w:t>
      </w:r>
      <w:proofErr w:type="gramStart"/>
      <w:r w:rsidRPr="004D4C57">
        <w:rPr>
          <w:sz w:val="22"/>
          <w:szCs w:val="22"/>
        </w:rPr>
        <w:t>May</w:t>
      </w:r>
      <w:proofErr w:type="gramEnd"/>
      <w:r w:rsidRPr="004D4C57">
        <w:rPr>
          <w:sz w:val="22"/>
          <w:szCs w:val="22"/>
        </w:rPr>
        <w:t xml:space="preserve"> 24, 1989,” IBR approved for §§63.11173(e) and 63.11516(d).</w:t>
      </w:r>
    </w:p>
    <w:p w:rsidR="003F210F" w:rsidRPr="004D4C57" w:rsidRDefault="003F210F" w:rsidP="004D4C57">
      <w:pPr>
        <w:pStyle w:val="NormalWeb"/>
        <w:rPr>
          <w:sz w:val="22"/>
          <w:szCs w:val="22"/>
        </w:rPr>
      </w:pPr>
      <w:r w:rsidRPr="004D4C57">
        <w:rPr>
          <w:sz w:val="22"/>
          <w:szCs w:val="22"/>
        </w:rPr>
        <w:t>(9) California South Coast Air Quality Management District's “Guidelines for Demonstrating Equivalency with District Approved Transfer Efficient Spray Guns, September 26, 2002,” Revision 0, IBR approved for §§63.11173(e) and 63.11516(d).</w:t>
      </w:r>
    </w:p>
    <w:p w:rsidR="003F210F" w:rsidRPr="004D4C57" w:rsidRDefault="003F210F" w:rsidP="004D4C57">
      <w:pPr>
        <w:pStyle w:val="NormalWeb"/>
        <w:rPr>
          <w:sz w:val="22"/>
          <w:szCs w:val="22"/>
        </w:rPr>
      </w:pPr>
      <w:r w:rsidRPr="004D4C57">
        <w:rPr>
          <w:sz w:val="22"/>
          <w:szCs w:val="22"/>
        </w:rPr>
        <w:t>(10) Rhode Island Department of Environmental Management regulations at Air Pollution Control Regulation No. 36, Control of Emissions from Organic Solvent Cleaning, effective April 8, 1996, last amended October 9, 2008, IBR approved for §63.99(a).</w:t>
      </w:r>
    </w:p>
    <w:p w:rsidR="003F210F" w:rsidRPr="004D4C57" w:rsidRDefault="003F210F" w:rsidP="004D4C57">
      <w:pPr>
        <w:pStyle w:val="NormalWeb"/>
        <w:rPr>
          <w:sz w:val="22"/>
          <w:szCs w:val="22"/>
        </w:rPr>
      </w:pPr>
      <w:r w:rsidRPr="004D4C57">
        <w:rPr>
          <w:sz w:val="22"/>
          <w:szCs w:val="22"/>
        </w:rPr>
        <w:lastRenderedPageBreak/>
        <w:t>(11) Rhode Island Air Pollution Control, General Definitions Regulation, effective July 19, 2007, last amended October 9, 2008. IBR approved for §63.99(a).</w:t>
      </w:r>
    </w:p>
    <w:p w:rsidR="003F210F" w:rsidRPr="004D4C57" w:rsidRDefault="003F210F" w:rsidP="004D4C57">
      <w:pPr>
        <w:pStyle w:val="NormalWeb"/>
        <w:rPr>
          <w:sz w:val="22"/>
          <w:szCs w:val="22"/>
        </w:rPr>
      </w:pPr>
      <w:r w:rsidRPr="004D4C57">
        <w:rPr>
          <w:sz w:val="22"/>
          <w:szCs w:val="22"/>
        </w:rPr>
        <w:t xml:space="preserve">(12) Alaska Statute 42.45.045. Renewable energy grant fund and recommendation program, available at </w:t>
      </w:r>
      <w:r w:rsidRPr="004D4C57">
        <w:rPr>
          <w:i/>
          <w:iCs/>
          <w:sz w:val="22"/>
          <w:szCs w:val="22"/>
        </w:rPr>
        <w:t>http://www.legis.state.ak.us/basis/folio.asp</w:t>
      </w:r>
      <w:r w:rsidRPr="004D4C57">
        <w:rPr>
          <w:sz w:val="22"/>
          <w:szCs w:val="22"/>
        </w:rPr>
        <w:t>, IBR approved for §63.6675.</w:t>
      </w:r>
    </w:p>
    <w:p w:rsidR="003F210F" w:rsidRPr="004D4C57" w:rsidRDefault="003F210F" w:rsidP="004D4C57">
      <w:pPr>
        <w:pStyle w:val="NormalWeb"/>
        <w:rPr>
          <w:sz w:val="22"/>
          <w:szCs w:val="22"/>
        </w:rPr>
      </w:pPr>
      <w:r w:rsidRPr="004D4C57">
        <w:rPr>
          <w:sz w:val="22"/>
          <w:szCs w:val="22"/>
        </w:rPr>
        <w:t xml:space="preserve">(m) U.S. Environmental Protection Agency, 1200 Pennsylvania Avenue NW., Washington, DC 20460, (202) 272-0167, </w:t>
      </w:r>
      <w:r w:rsidRPr="004D4C57">
        <w:rPr>
          <w:i/>
          <w:iCs/>
          <w:sz w:val="22"/>
          <w:szCs w:val="22"/>
        </w:rPr>
        <w:t>http://www.epa.gov.</w:t>
      </w:r>
    </w:p>
    <w:p w:rsidR="003F210F" w:rsidRPr="004D4C57" w:rsidRDefault="003F210F" w:rsidP="004D4C57">
      <w:pPr>
        <w:pStyle w:val="NormalWeb"/>
        <w:rPr>
          <w:sz w:val="22"/>
          <w:szCs w:val="22"/>
        </w:rPr>
      </w:pPr>
      <w:r w:rsidRPr="004D4C57">
        <w:rPr>
          <w:sz w:val="22"/>
          <w:szCs w:val="22"/>
        </w:rPr>
        <w:t>(1) EPA-453/R-01-005, National Emission Standards for Hazardous Air Pollutants (NESHAP) for Integrated Iron and Steel Plants—Background Information for Proposed Standards, Final Report, January 2001, IBR approved for §63.7491(g).</w:t>
      </w:r>
    </w:p>
    <w:p w:rsidR="003F210F" w:rsidRPr="004D4C57" w:rsidRDefault="003F210F" w:rsidP="004D4C57">
      <w:pPr>
        <w:pStyle w:val="NormalWeb"/>
        <w:rPr>
          <w:sz w:val="22"/>
          <w:szCs w:val="22"/>
        </w:rPr>
      </w:pPr>
      <w:r w:rsidRPr="004D4C57">
        <w:rPr>
          <w:sz w:val="22"/>
          <w:szCs w:val="22"/>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rsidR="003F210F" w:rsidRPr="004D4C57" w:rsidRDefault="003F210F" w:rsidP="004D4C57">
      <w:pPr>
        <w:pStyle w:val="NormalWeb"/>
        <w:rPr>
          <w:sz w:val="22"/>
          <w:szCs w:val="22"/>
        </w:rPr>
      </w:pPr>
      <w:r w:rsidRPr="004D4C57">
        <w:rPr>
          <w:sz w:val="22"/>
          <w:szCs w:val="22"/>
        </w:rPr>
        <w:t>(3) EPA-454/R-98-015, Office of Air Quality Planning and Standards (OAQPS), Fabric Filter Bag Leak Detection Guidance, September 1997, IBR approved for §§63.548(e), 63.7525(j), 63.8450(e), 63.8600(e), and 63.11224(f).</w:t>
      </w:r>
    </w:p>
    <w:p w:rsidR="003F210F" w:rsidRPr="004D4C57" w:rsidRDefault="003F210F" w:rsidP="004D4C57">
      <w:pPr>
        <w:pStyle w:val="NormalWeb"/>
        <w:rPr>
          <w:sz w:val="22"/>
          <w:szCs w:val="22"/>
        </w:rPr>
      </w:pPr>
      <w:r w:rsidRPr="004D4C57">
        <w:rPr>
          <w:sz w:val="22"/>
          <w:szCs w:val="22"/>
        </w:rPr>
        <w:t>(4) EPA-454/R-99-005, Office of Air Quality Planning and Standards (OAQPS), Meteorological Monitoring Guidance for Regulatory Modeling Applications, February 2000, IBR approved for appendix A to this part: Method 325A.</w:t>
      </w:r>
    </w:p>
    <w:p w:rsidR="003F210F" w:rsidRPr="004D4C57" w:rsidRDefault="003F210F" w:rsidP="004D4C57">
      <w:pPr>
        <w:pStyle w:val="NormalWeb"/>
        <w:rPr>
          <w:sz w:val="22"/>
          <w:szCs w:val="22"/>
        </w:rPr>
      </w:pPr>
      <w:r w:rsidRPr="004D4C57">
        <w:rPr>
          <w:sz w:val="22"/>
          <w:szCs w:val="22"/>
        </w:rPr>
        <w:t>(5) EPA-625/3-89-016, Interim Procedures for Estimating Risks Associated with Exposures to Mixtures of Chlorinated Dibenzo-p-Dioxins and -Dibenzofurans (CDDs and CDFs) and 1989 Update, March 1989. IBR approved for §63.1513(d).</w:t>
      </w:r>
    </w:p>
    <w:p w:rsidR="003F210F" w:rsidRPr="004D4C57" w:rsidRDefault="003F210F" w:rsidP="004D4C57">
      <w:pPr>
        <w:pStyle w:val="NormalWeb"/>
        <w:rPr>
          <w:sz w:val="22"/>
          <w:szCs w:val="22"/>
        </w:rPr>
      </w:pPr>
      <w:r w:rsidRPr="004D4C57">
        <w:rPr>
          <w:sz w:val="22"/>
          <w:szCs w:val="22"/>
        </w:rPr>
        <w:t xml:space="preserve">(6) SW-846-3020A, Acid Digestion of Aqueous Samples </w:t>
      </w:r>
      <w:proofErr w:type="gramStart"/>
      <w:r w:rsidRPr="004D4C57">
        <w:rPr>
          <w:sz w:val="22"/>
          <w:szCs w:val="22"/>
        </w:rPr>
        <w:t>And</w:t>
      </w:r>
      <w:proofErr w:type="gramEnd"/>
      <w:r w:rsidRPr="004D4C57">
        <w:rPr>
          <w:sz w:val="22"/>
          <w:szCs w:val="22"/>
        </w:rPr>
        <w:t xml:space="preserve"> Extracts For Total Metals For Analysis By GFAA Spectroscopy, Revision 1, July 1992, in EPA Publication No. SW-846, Test Methods for Evaluating Solid Waste, Physical/Chemical Methods, Third Edition, IBR approved for table 6 to subpart DDDDD and table 5 to subpart JJJJJJ.</w:t>
      </w:r>
    </w:p>
    <w:p w:rsidR="003F210F" w:rsidRPr="004D4C57" w:rsidRDefault="003F210F" w:rsidP="004D4C57">
      <w:pPr>
        <w:pStyle w:val="NormalWeb"/>
        <w:rPr>
          <w:sz w:val="22"/>
          <w:szCs w:val="22"/>
        </w:rPr>
      </w:pPr>
      <w:r w:rsidRPr="004D4C57">
        <w:rPr>
          <w:sz w:val="22"/>
          <w:szCs w:val="22"/>
        </w:rPr>
        <w:t>(7) SW-846-3050B, Acid Digestion of Sediments, Sludges, and Soils, Revision 2, December 1996, in EPA Publication No. SW-846, Test Methods for Evaluating Solid Waste, Physical/Chemical Methods, Third Edition, IBR approved for table 6 to subpart DDDDD and table 5 to subpart JJJJJJ.</w:t>
      </w:r>
    </w:p>
    <w:p w:rsidR="003F210F" w:rsidRPr="004D4C57" w:rsidRDefault="003F210F" w:rsidP="004D4C57">
      <w:pPr>
        <w:pStyle w:val="NormalWeb"/>
        <w:rPr>
          <w:sz w:val="22"/>
          <w:szCs w:val="22"/>
        </w:rPr>
      </w:pPr>
      <w:r w:rsidRPr="004D4C57">
        <w:rPr>
          <w:sz w:val="22"/>
          <w:szCs w:val="22"/>
        </w:rPr>
        <w:t xml:space="preserve">(8) SW-846-7470A, Mercury </w:t>
      </w:r>
      <w:proofErr w:type="gramStart"/>
      <w:r w:rsidRPr="004D4C57">
        <w:rPr>
          <w:sz w:val="22"/>
          <w:szCs w:val="22"/>
        </w:rPr>
        <w:t>In</w:t>
      </w:r>
      <w:proofErr w:type="gramEnd"/>
      <w:r w:rsidRPr="004D4C57">
        <w:rPr>
          <w:sz w:val="22"/>
          <w:szCs w:val="22"/>
        </w:rPr>
        <w:t xml:space="preserve"> Liquid Waste (Manual Cold-Vapor Technique), Revision 1, September 1994, in EPA Publication No. SW-846, Test Methods for Evaluating Solid Waste, Physical/Chemical Methods, Third Edition, IBR approved for table 6 to subpart DDDDD and table 5 to subpart JJJJJJ.</w:t>
      </w:r>
    </w:p>
    <w:p w:rsidR="003F210F" w:rsidRPr="004D4C57" w:rsidRDefault="003F210F" w:rsidP="004D4C57">
      <w:pPr>
        <w:pStyle w:val="NormalWeb"/>
        <w:rPr>
          <w:sz w:val="22"/>
          <w:szCs w:val="22"/>
        </w:rPr>
      </w:pPr>
      <w:r w:rsidRPr="004D4C57">
        <w:rPr>
          <w:sz w:val="22"/>
          <w:szCs w:val="22"/>
        </w:rPr>
        <w:t xml:space="preserve">(9) SW-846-7471B, Mercury </w:t>
      </w:r>
      <w:proofErr w:type="gramStart"/>
      <w:r w:rsidRPr="004D4C57">
        <w:rPr>
          <w:sz w:val="22"/>
          <w:szCs w:val="22"/>
        </w:rPr>
        <w:t>In</w:t>
      </w:r>
      <w:proofErr w:type="gramEnd"/>
      <w:r w:rsidRPr="004D4C57">
        <w:rPr>
          <w:sz w:val="22"/>
          <w:szCs w:val="22"/>
        </w:rPr>
        <w:t xml:space="preserve"> Solid Or Semisolid Waste (Manual Cold-Vapor Technique), Revision 2, February 2007, in EPA Publication No. SW-846, Test Methods for Evaluating Solid Waste, Physical/Chemical Methods, Third Edition, IBR approved for table 6 to subpart DDDDD and table 5 to subpart JJJJJJ.</w:t>
      </w:r>
    </w:p>
    <w:p w:rsidR="003F210F" w:rsidRPr="004D4C57" w:rsidRDefault="003F210F" w:rsidP="004D4C57">
      <w:pPr>
        <w:pStyle w:val="NormalWeb"/>
        <w:rPr>
          <w:sz w:val="22"/>
          <w:szCs w:val="22"/>
        </w:rPr>
      </w:pPr>
      <w:r w:rsidRPr="004D4C57">
        <w:rPr>
          <w:sz w:val="22"/>
          <w:szCs w:val="22"/>
        </w:rPr>
        <w:t>(10) SW-846-8015C, Nonhalogenated Organics by Gas Chromatography, Revision 3, February 2007, in EPA Publication No. SW-846, Test Methods for Evaluating Solid Waste, Physical/Chemical Methods, Third Edition, IBR approved for §§63.11960, 63.11980, and table 10 to subpart HHHHHHH.</w:t>
      </w:r>
    </w:p>
    <w:p w:rsidR="003F210F" w:rsidRPr="004D4C57" w:rsidRDefault="003F210F" w:rsidP="004D4C57">
      <w:pPr>
        <w:pStyle w:val="NormalWeb"/>
        <w:rPr>
          <w:sz w:val="22"/>
          <w:szCs w:val="22"/>
        </w:rPr>
      </w:pPr>
      <w:r w:rsidRPr="004D4C57">
        <w:rPr>
          <w:sz w:val="22"/>
          <w:szCs w:val="22"/>
        </w:rPr>
        <w:lastRenderedPageBreak/>
        <w:t>(11)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3F210F" w:rsidRPr="004D4C57" w:rsidRDefault="003F210F" w:rsidP="004D4C57">
      <w:pPr>
        <w:pStyle w:val="NormalWeb"/>
        <w:rPr>
          <w:sz w:val="22"/>
          <w:szCs w:val="22"/>
        </w:rPr>
      </w:pPr>
      <w:r w:rsidRPr="004D4C57">
        <w:rPr>
          <w:sz w:val="22"/>
          <w:szCs w:val="22"/>
        </w:rPr>
        <w:t>(12)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3F210F" w:rsidRPr="004D4C57" w:rsidRDefault="003F210F" w:rsidP="004D4C57">
      <w:pPr>
        <w:pStyle w:val="NormalWeb"/>
        <w:rPr>
          <w:sz w:val="22"/>
          <w:szCs w:val="22"/>
        </w:rPr>
      </w:pPr>
      <w:r w:rsidRPr="004D4C57">
        <w:rPr>
          <w:sz w:val="22"/>
          <w:szCs w:val="22"/>
        </w:rPr>
        <w:t>(13)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3F210F" w:rsidRPr="004D4C57" w:rsidRDefault="003F210F" w:rsidP="004D4C57">
      <w:pPr>
        <w:pStyle w:val="NormalWeb"/>
        <w:rPr>
          <w:sz w:val="22"/>
          <w:szCs w:val="22"/>
        </w:rPr>
      </w:pPr>
      <w:r w:rsidRPr="004D4C57">
        <w:rPr>
          <w:sz w:val="22"/>
          <w:szCs w:val="22"/>
        </w:rPr>
        <w:t>(14) SW-846-5050, Bomb Preparation Method for Solid Waste, Revision 0, September 1994, in EPA Publication No. SW-846, Test Methods for Evaluating Solid Waste, Physical/Chemical Methods, Third Edition IBR approved for table 6 to subpart DDDDD.</w:t>
      </w:r>
    </w:p>
    <w:p w:rsidR="003F210F" w:rsidRPr="004D4C57" w:rsidRDefault="003F210F" w:rsidP="004D4C57">
      <w:pPr>
        <w:pStyle w:val="NormalWeb"/>
        <w:rPr>
          <w:sz w:val="22"/>
          <w:szCs w:val="22"/>
        </w:rPr>
      </w:pPr>
      <w:r w:rsidRPr="004D4C57">
        <w:rPr>
          <w:sz w:val="22"/>
          <w:szCs w:val="22"/>
        </w:rPr>
        <w:t>(15) SW-846-6010C, Inductively Coupled Plasma-Atomic Emission Spectrometry, Revision 3, February 2007, in EPA Publication No. SW-846, Test Methods for Evaluating Solid Waste, Physical/Chemical Methods, Third Edition, IBR approved for table 6 to subpart DDDDD.</w:t>
      </w:r>
    </w:p>
    <w:p w:rsidR="003F210F" w:rsidRPr="004D4C57" w:rsidRDefault="003F210F" w:rsidP="004D4C57">
      <w:pPr>
        <w:pStyle w:val="NormalWeb"/>
        <w:rPr>
          <w:sz w:val="22"/>
          <w:szCs w:val="22"/>
        </w:rPr>
      </w:pPr>
      <w:r w:rsidRPr="004D4C57">
        <w:rPr>
          <w:sz w:val="22"/>
          <w:szCs w:val="22"/>
        </w:rPr>
        <w:t>(16) SW-846-6020A, Inductively Coupled Plasma-Mass Spectrometry, Revision 1, February 2007, in EPA Publication No. SW-846, Test Methods for Evaluating Solid Waste, Physical/Chemical Methods, Third Edition, IBR approved for table 6 to subpart DDDDD.</w:t>
      </w:r>
    </w:p>
    <w:p w:rsidR="003F210F" w:rsidRPr="004D4C57" w:rsidRDefault="003F210F" w:rsidP="004D4C57">
      <w:pPr>
        <w:pStyle w:val="NormalWeb"/>
        <w:rPr>
          <w:sz w:val="22"/>
          <w:szCs w:val="22"/>
        </w:rPr>
      </w:pPr>
      <w:r w:rsidRPr="004D4C57">
        <w:rPr>
          <w:sz w:val="22"/>
          <w:szCs w:val="22"/>
        </w:rPr>
        <w:t>(17) SW-846-7060A, Arsenic (Atomic Absorption, Furnace Technique), Revision 1, September 1994, in EPA Publication No. SW-846, Test Methods for Evaluating Solid Waste, Physical/Chemical Methods, Third Edition, IBR approved for table 6 to subpart DDDDD.</w:t>
      </w:r>
    </w:p>
    <w:p w:rsidR="003F210F" w:rsidRPr="004D4C57" w:rsidRDefault="003F210F" w:rsidP="004D4C57">
      <w:pPr>
        <w:pStyle w:val="NormalWeb"/>
        <w:rPr>
          <w:sz w:val="22"/>
          <w:szCs w:val="22"/>
        </w:rPr>
      </w:pPr>
      <w:r w:rsidRPr="004D4C57">
        <w:rPr>
          <w:sz w:val="22"/>
          <w:szCs w:val="22"/>
        </w:rPr>
        <w:t>(18) SW-846-7740, Selenium (Atomic Absorption, Furnace Technique), Revision 0, September 1986, in EPA Publication No. SW-846, Test Methods for Evaluating Solid Waste, Physical/Chemical Methods, Third Edition, IBR approved for table 6 to subpart DDDDD.</w:t>
      </w:r>
    </w:p>
    <w:p w:rsidR="003F210F" w:rsidRPr="004D4C57" w:rsidRDefault="003F210F" w:rsidP="004D4C57">
      <w:pPr>
        <w:pStyle w:val="NormalWeb"/>
        <w:rPr>
          <w:sz w:val="22"/>
          <w:szCs w:val="22"/>
        </w:rPr>
      </w:pPr>
      <w:r w:rsidRPr="004D4C57">
        <w:rPr>
          <w:sz w:val="22"/>
          <w:szCs w:val="22"/>
        </w:rPr>
        <w:t>(19) SW-846-9056, Determination of Inorganic Anions by Ion Chromatography, Revision 1, February 2007, in EPA Publication No. SW-846, Test Methods for Evaluating Solid Waste, Physical/Chemical Methods, Third Edition, IBR approved for table 6 to subpart DDDDD.</w:t>
      </w:r>
    </w:p>
    <w:p w:rsidR="003F210F" w:rsidRPr="004D4C57" w:rsidRDefault="003F210F" w:rsidP="004D4C57">
      <w:pPr>
        <w:pStyle w:val="NormalWeb"/>
        <w:rPr>
          <w:sz w:val="22"/>
          <w:szCs w:val="22"/>
        </w:rPr>
      </w:pPr>
      <w:r w:rsidRPr="004D4C57">
        <w:rPr>
          <w:sz w:val="22"/>
          <w:szCs w:val="22"/>
        </w:rPr>
        <w:t>(20)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3F210F" w:rsidRPr="004D4C57" w:rsidRDefault="003F210F" w:rsidP="004D4C57">
      <w:pPr>
        <w:pStyle w:val="NormalWeb"/>
        <w:rPr>
          <w:sz w:val="22"/>
          <w:szCs w:val="22"/>
        </w:rPr>
      </w:pPr>
      <w:r w:rsidRPr="004D4C57">
        <w:rPr>
          <w:sz w:val="22"/>
          <w:szCs w:val="22"/>
        </w:rPr>
        <w:t>(21) SW-846-9250, Chloride (Colorimetric, Automated Ferricyanide AAI), Revision 0, September 1986, in EPA Publication No. SW-846, Test Methods for Evaluating Solid Waste, Physical/Chemical Methods, Third Edition, IBR approved for table 6 to subpart DDDDD.</w:t>
      </w:r>
    </w:p>
    <w:p w:rsidR="003F210F" w:rsidRPr="004D4C57" w:rsidRDefault="003F210F" w:rsidP="004D4C57">
      <w:pPr>
        <w:pStyle w:val="NormalWeb"/>
        <w:rPr>
          <w:sz w:val="22"/>
          <w:szCs w:val="22"/>
        </w:rPr>
      </w:pPr>
      <w:r w:rsidRPr="004D4C57">
        <w:rPr>
          <w:sz w:val="22"/>
          <w:szCs w:val="22"/>
        </w:rPr>
        <w:lastRenderedPageBreak/>
        <w:t>(22) Method 200.8, Determination of Trace Elements in Waters and Wastes by Inductively Coupled Plasma—Mass Spectrometry, Revision 5.4, 1994, IBR approved for table 6 to subpart DDDDD.</w:t>
      </w:r>
    </w:p>
    <w:p w:rsidR="003F210F" w:rsidRPr="004D4C57" w:rsidRDefault="003F210F" w:rsidP="004D4C57">
      <w:pPr>
        <w:pStyle w:val="NormalWeb"/>
        <w:rPr>
          <w:sz w:val="22"/>
          <w:szCs w:val="22"/>
        </w:rPr>
      </w:pPr>
      <w:r w:rsidRPr="004D4C57">
        <w:rPr>
          <w:sz w:val="22"/>
          <w:szCs w:val="22"/>
        </w:rPr>
        <w:t>(23) Method 1631 Revision E, Mercury in Water by Oxidation, Purge and Trap, and Cold Vapor Atomic Absorption Fluorescence Spectrometry, Revision E, EPA-821-R-02-019, August 2002, IBR approved for table 6 to subpart DDDDD.</w:t>
      </w:r>
    </w:p>
    <w:p w:rsidR="003F210F" w:rsidRPr="004D4C57" w:rsidRDefault="003F210F" w:rsidP="004D4C57">
      <w:pPr>
        <w:pStyle w:val="NormalWeb"/>
        <w:rPr>
          <w:sz w:val="22"/>
          <w:szCs w:val="22"/>
        </w:rPr>
      </w:pPr>
      <w:r w:rsidRPr="004D4C57">
        <w:rPr>
          <w:sz w:val="22"/>
          <w:szCs w:val="22"/>
        </w:rPr>
        <w:t xml:space="preserve">(n) International Standards Organization (ISO), 1, ch. de la Voie-Creuse, Case postale 56, CH-1211 Geneva 20, Switzerland, + 41 22 749 01 11, </w:t>
      </w:r>
      <w:r w:rsidRPr="004D4C57">
        <w:rPr>
          <w:i/>
          <w:iCs/>
          <w:sz w:val="22"/>
          <w:szCs w:val="22"/>
        </w:rPr>
        <w:t>http://www.iso.org/iso/home.htm.</w:t>
      </w:r>
    </w:p>
    <w:p w:rsidR="003F210F" w:rsidRPr="004D4C57" w:rsidRDefault="003F210F" w:rsidP="004D4C57">
      <w:pPr>
        <w:pStyle w:val="NormalWeb"/>
        <w:rPr>
          <w:sz w:val="22"/>
          <w:szCs w:val="22"/>
        </w:rPr>
      </w:pPr>
      <w:r w:rsidRPr="004D4C57">
        <w:rPr>
          <w:sz w:val="22"/>
          <w:szCs w:val="22"/>
        </w:rPr>
        <w:t xml:space="preserve">(1) ISO 6978-1:2003(E), Natural Gas—Determination of Mercury—Part 1: Sampling of Mercury by Chemisorption on Iodine, </w:t>
      </w:r>
      <w:proofErr w:type="gramStart"/>
      <w:r w:rsidRPr="004D4C57">
        <w:rPr>
          <w:sz w:val="22"/>
          <w:szCs w:val="22"/>
        </w:rPr>
        <w:t>First</w:t>
      </w:r>
      <w:proofErr w:type="gramEnd"/>
      <w:r w:rsidRPr="004D4C57">
        <w:rPr>
          <w:sz w:val="22"/>
          <w:szCs w:val="22"/>
        </w:rPr>
        <w:t xml:space="preserve"> edition, October 15, 2003, IBR approved for table 6 to subpart DDDDD.</w:t>
      </w:r>
    </w:p>
    <w:p w:rsidR="003F210F" w:rsidRPr="004D4C57" w:rsidRDefault="003F210F" w:rsidP="004D4C57">
      <w:pPr>
        <w:pStyle w:val="NormalWeb"/>
        <w:rPr>
          <w:sz w:val="22"/>
          <w:szCs w:val="22"/>
        </w:rPr>
      </w:pPr>
      <w:r w:rsidRPr="004D4C57">
        <w:rPr>
          <w:sz w:val="22"/>
          <w:szCs w:val="22"/>
        </w:rPr>
        <w:t xml:space="preserve">(2) ISO 6978-2:2003(E), Natural gas—Determination of Mercury—Part 2: Sampling of Mercury by Amalgamation on Gold/Platinum Alloy, </w:t>
      </w:r>
      <w:proofErr w:type="gramStart"/>
      <w:r w:rsidRPr="004D4C57">
        <w:rPr>
          <w:sz w:val="22"/>
          <w:szCs w:val="22"/>
        </w:rPr>
        <w:t>First</w:t>
      </w:r>
      <w:proofErr w:type="gramEnd"/>
      <w:r w:rsidRPr="004D4C57">
        <w:rPr>
          <w:sz w:val="22"/>
          <w:szCs w:val="22"/>
        </w:rPr>
        <w:t xml:space="preserve"> edition, October 15, 2003, IBR approved for table 6 to subpart DDDDD.</w:t>
      </w:r>
    </w:p>
    <w:p w:rsidR="003F210F" w:rsidRPr="004D4C57" w:rsidRDefault="003F210F" w:rsidP="004D4C57">
      <w:pPr>
        <w:pStyle w:val="NormalWeb"/>
        <w:rPr>
          <w:sz w:val="22"/>
          <w:szCs w:val="22"/>
        </w:rPr>
      </w:pPr>
      <w:r w:rsidRPr="004D4C57">
        <w:rPr>
          <w:sz w:val="22"/>
          <w:szCs w:val="22"/>
        </w:rPr>
        <w:t xml:space="preserve">(3) ISO 16017-2:2003(E): Indoor, ambient and workplace air—sampling and analysis of volatile organic compounds by sorbent tube/thermal desorption/capillary gas chromatography—Part 2: Diffusive sampling, </w:t>
      </w:r>
      <w:proofErr w:type="gramStart"/>
      <w:r w:rsidRPr="004D4C57">
        <w:rPr>
          <w:sz w:val="22"/>
          <w:szCs w:val="22"/>
        </w:rPr>
        <w:t>May</w:t>
      </w:r>
      <w:proofErr w:type="gramEnd"/>
      <w:r w:rsidRPr="004D4C57">
        <w:rPr>
          <w:sz w:val="22"/>
          <w:szCs w:val="22"/>
        </w:rPr>
        <w:t xml:space="preserve"> 15, 2003, IBR approved for appendix A to this part: Method 325A and Method 325B.</w:t>
      </w:r>
    </w:p>
    <w:p w:rsidR="003F210F" w:rsidRPr="004D4C57" w:rsidRDefault="003F210F" w:rsidP="004D4C57">
      <w:pPr>
        <w:pStyle w:val="NormalWeb"/>
        <w:rPr>
          <w:sz w:val="22"/>
          <w:szCs w:val="22"/>
        </w:rPr>
      </w:pPr>
      <w:r w:rsidRPr="004D4C57">
        <w:rPr>
          <w:sz w:val="22"/>
          <w:szCs w:val="22"/>
        </w:rPr>
        <w:t xml:space="preserve">(o) National Council of the Paper Industry for Air and Stream Improvement, Inc. (NCASI), P.O. Box 133318, Research Triangle Park, NC 27709-3318 or at </w:t>
      </w:r>
      <w:r w:rsidRPr="004D4C57">
        <w:rPr>
          <w:i/>
          <w:iCs/>
          <w:sz w:val="22"/>
          <w:szCs w:val="22"/>
        </w:rPr>
        <w:t>http://www.ncasi.org.</w:t>
      </w:r>
    </w:p>
    <w:p w:rsidR="003F210F" w:rsidRPr="004D4C57" w:rsidRDefault="003F210F" w:rsidP="004D4C57">
      <w:pPr>
        <w:pStyle w:val="NormalWeb"/>
        <w:rPr>
          <w:sz w:val="22"/>
          <w:szCs w:val="22"/>
        </w:rPr>
      </w:pPr>
      <w:r w:rsidRPr="004D4C57">
        <w:rPr>
          <w:sz w:val="22"/>
          <w:szCs w:val="22"/>
        </w:rPr>
        <w:t>(1) NCASI Method DI/MEOH-94.03, Methanol in Process Liquids and Wastewaters by GC/FID, Issued May 2000, IBR approved for §§63.457 and 63.459.</w:t>
      </w:r>
    </w:p>
    <w:p w:rsidR="003F210F" w:rsidRPr="004D4C57" w:rsidRDefault="003F210F" w:rsidP="004D4C57">
      <w:pPr>
        <w:pStyle w:val="NormalWeb"/>
        <w:rPr>
          <w:sz w:val="22"/>
          <w:szCs w:val="22"/>
        </w:rPr>
      </w:pPr>
      <w:r w:rsidRPr="004D4C57">
        <w:rPr>
          <w:sz w:val="22"/>
          <w:szCs w:val="22"/>
        </w:rPr>
        <w:t xml:space="preserve">(2) NCASI Method CI/WP-98.01, Chilled Impinger Method </w:t>
      </w:r>
      <w:proofErr w:type="gramStart"/>
      <w:r w:rsidRPr="004D4C57">
        <w:rPr>
          <w:sz w:val="22"/>
          <w:szCs w:val="22"/>
        </w:rPr>
        <w:t>For</w:t>
      </w:r>
      <w:proofErr w:type="gramEnd"/>
      <w:r w:rsidRPr="004D4C57">
        <w:rPr>
          <w:sz w:val="22"/>
          <w:szCs w:val="22"/>
        </w:rPr>
        <w:t xml:space="preserve"> Use At Wood Products Mills to Measure Formaldehyde, Methanol, and Phenol, 1998, Methods Manual, IBR approved for table 4 to subpart DDDD.</w:t>
      </w:r>
    </w:p>
    <w:p w:rsidR="003F210F" w:rsidRPr="004D4C57" w:rsidRDefault="003F210F" w:rsidP="004D4C57">
      <w:pPr>
        <w:pStyle w:val="NormalWeb"/>
        <w:rPr>
          <w:sz w:val="22"/>
          <w:szCs w:val="22"/>
        </w:rPr>
      </w:pPr>
      <w:r w:rsidRPr="004D4C57">
        <w:rPr>
          <w:sz w:val="22"/>
          <w:szCs w:val="22"/>
        </w:rPr>
        <w:t xml:space="preserve">(3) NCASI Method DI/HAPS-99.01, Selected HAPs </w:t>
      </w:r>
      <w:proofErr w:type="gramStart"/>
      <w:r w:rsidRPr="004D4C57">
        <w:rPr>
          <w:sz w:val="22"/>
          <w:szCs w:val="22"/>
        </w:rPr>
        <w:t>In</w:t>
      </w:r>
      <w:proofErr w:type="gramEnd"/>
      <w:r w:rsidRPr="004D4C57">
        <w:rPr>
          <w:sz w:val="22"/>
          <w:szCs w:val="22"/>
        </w:rPr>
        <w:t xml:space="preserve"> Condensates by GC/FID, Issued February 2000, IBR approved for §63.459(b).</w:t>
      </w:r>
    </w:p>
    <w:p w:rsidR="003F210F" w:rsidRPr="004D4C57" w:rsidRDefault="003F210F" w:rsidP="004D4C57">
      <w:pPr>
        <w:pStyle w:val="NormalWeb"/>
        <w:rPr>
          <w:sz w:val="22"/>
          <w:szCs w:val="22"/>
        </w:rPr>
      </w:pPr>
      <w:r w:rsidRPr="004D4C57">
        <w:rPr>
          <w:sz w:val="22"/>
          <w:szCs w:val="22"/>
        </w:rPr>
        <w:t>(4) NCASI Method IM/CAN/WP-99.02, Impinger/Canister Source Sampling Method for Selected HAPs and Other Compounds at Wood Products Facilities, January 2004, Methods Manual, IBR approved for table 4 to subpart DDDD.</w:t>
      </w:r>
    </w:p>
    <w:p w:rsidR="003F210F" w:rsidRPr="004D4C57" w:rsidRDefault="003F210F" w:rsidP="004D4C57">
      <w:pPr>
        <w:pStyle w:val="NormalWeb"/>
        <w:rPr>
          <w:sz w:val="22"/>
          <w:szCs w:val="22"/>
        </w:rPr>
      </w:pPr>
      <w:r w:rsidRPr="004D4C57">
        <w:rPr>
          <w:sz w:val="22"/>
          <w:szCs w:val="22"/>
        </w:rPr>
        <w:t>(5) NCASI Method ISS/FP A105.01, Impinger Source Sampling Method for Selected Aldehydes, Ketones, and Polar Compounds, December 2005, Methods Manual, IBR approved for table 4 to subpart DDDD.</w:t>
      </w:r>
    </w:p>
    <w:p w:rsidR="003F210F" w:rsidRPr="004D4C57" w:rsidRDefault="003F210F" w:rsidP="004D4C57">
      <w:pPr>
        <w:pStyle w:val="NormalWeb"/>
        <w:rPr>
          <w:sz w:val="22"/>
          <w:szCs w:val="22"/>
        </w:rPr>
      </w:pPr>
      <w:r w:rsidRPr="004D4C57">
        <w:rPr>
          <w:sz w:val="22"/>
          <w:szCs w:val="22"/>
        </w:rPr>
        <w:t>(p) National Technical Information Service (NTIS), 5285 Port Royal Road, Springfield, VA 22161, (703) 605-6000 or (800) 553-6847; or for purchase from the Superintendent of Documents, U.S. Government Printing Office, Washington, DC 20402, (202) 512-1800.</w:t>
      </w:r>
    </w:p>
    <w:p w:rsidR="003F210F" w:rsidRPr="004D4C57" w:rsidRDefault="003F210F" w:rsidP="004D4C57">
      <w:pPr>
        <w:pStyle w:val="NormalWeb"/>
        <w:rPr>
          <w:sz w:val="22"/>
          <w:szCs w:val="22"/>
        </w:rPr>
      </w:pPr>
      <w:r w:rsidRPr="004D4C57">
        <w:rPr>
          <w:sz w:val="22"/>
          <w:szCs w:val="22"/>
        </w:rPr>
        <w:t>(1) Handbook 44, Specificiations, Tolerances, and Other Technical Requirements for Weighing and Measuring Devices 1998, IBR approved for §63.1303(e).</w:t>
      </w:r>
    </w:p>
    <w:p w:rsidR="003F210F" w:rsidRPr="004D4C57" w:rsidRDefault="003F210F" w:rsidP="004D4C57">
      <w:pPr>
        <w:pStyle w:val="NormalWeb"/>
        <w:rPr>
          <w:sz w:val="22"/>
          <w:szCs w:val="22"/>
        </w:rPr>
      </w:pPr>
      <w:r w:rsidRPr="004D4C57">
        <w:rPr>
          <w:sz w:val="22"/>
          <w:szCs w:val="22"/>
        </w:rPr>
        <w:lastRenderedPageBreak/>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3F210F" w:rsidRPr="004D4C57" w:rsidRDefault="003F210F" w:rsidP="004D4C57">
      <w:pPr>
        <w:pStyle w:val="NormalWeb"/>
        <w:rPr>
          <w:sz w:val="22"/>
          <w:szCs w:val="22"/>
        </w:rPr>
      </w:pPr>
      <w:r w:rsidRPr="004D4C57">
        <w:rPr>
          <w:sz w:val="22"/>
          <w:szCs w:val="22"/>
        </w:rPr>
        <w:t>(i) Method 0023A, “Sampling Method for Polychlorinated Dibenzo-p-Dioxins and Polychlorinated Dibenzofuran Emissions from Stationary Sources,” dated December 1996, IBR approved for §63.1208(b).</w:t>
      </w:r>
    </w:p>
    <w:p w:rsidR="003F210F" w:rsidRPr="004D4C57" w:rsidRDefault="003F210F" w:rsidP="004D4C57">
      <w:pPr>
        <w:pStyle w:val="NormalWeb"/>
        <w:rPr>
          <w:sz w:val="22"/>
          <w:szCs w:val="22"/>
        </w:rPr>
      </w:pPr>
      <w:r w:rsidRPr="004D4C57">
        <w:rPr>
          <w:sz w:val="22"/>
          <w:szCs w:val="22"/>
        </w:rPr>
        <w:t>(ii) Method 9071B, “n-Hexane Extractable Material (HEM) for Sludge, Sediment, and Solid Samples,” dated April 1998, IBR approved for §63.7824(e).</w:t>
      </w:r>
    </w:p>
    <w:p w:rsidR="003F210F" w:rsidRPr="004D4C57" w:rsidRDefault="003F210F" w:rsidP="004D4C57">
      <w:pPr>
        <w:pStyle w:val="NormalWeb"/>
        <w:rPr>
          <w:sz w:val="22"/>
          <w:szCs w:val="22"/>
        </w:rPr>
      </w:pPr>
      <w:r w:rsidRPr="004D4C57">
        <w:rPr>
          <w:sz w:val="22"/>
          <w:szCs w:val="22"/>
        </w:rPr>
        <w:t>(iii) Method 9095A, “Paint Filter Liquids Test,” dated December 1996, IBR approved for §§63.7700(b) and 63.7765.</w:t>
      </w:r>
    </w:p>
    <w:p w:rsidR="003F210F" w:rsidRPr="004D4C57" w:rsidRDefault="003F210F" w:rsidP="004D4C57">
      <w:pPr>
        <w:pStyle w:val="NormalWeb"/>
        <w:rPr>
          <w:sz w:val="22"/>
          <w:szCs w:val="22"/>
        </w:rPr>
      </w:pPr>
      <w:r w:rsidRPr="004D4C57">
        <w:rPr>
          <w:sz w:val="22"/>
          <w:szCs w:val="22"/>
        </w:rPr>
        <w:t>(iv) Method 9095B, “Paint Filter Liquids Test,” (revision 2), dated November 2004, IBR approved for the definition of “Free organic liquids” in §§63.10692, 63.10885(a), and the definition of “Free liquids” in §63.10906.</w:t>
      </w:r>
    </w:p>
    <w:p w:rsidR="003F210F" w:rsidRPr="004D4C57" w:rsidRDefault="003F210F" w:rsidP="004D4C57">
      <w:pPr>
        <w:pStyle w:val="NormalWeb"/>
        <w:rPr>
          <w:sz w:val="22"/>
          <w:szCs w:val="22"/>
        </w:rPr>
      </w:pPr>
      <w:r w:rsidRPr="004D4C57">
        <w:rPr>
          <w:sz w:val="22"/>
          <w:szCs w:val="22"/>
        </w:rPr>
        <w:t>(v) SW-846 74741B, Revision 2, “Mercury in Solid or Semisolid Waste (Manual Cold-Vapor Technique),” February 2007, IBR approved for §63.11647(f).</w:t>
      </w:r>
    </w:p>
    <w:p w:rsidR="003F210F" w:rsidRPr="004D4C57" w:rsidRDefault="003F210F" w:rsidP="004D4C57">
      <w:pPr>
        <w:pStyle w:val="NormalWeb"/>
        <w:rPr>
          <w:sz w:val="22"/>
          <w:szCs w:val="22"/>
        </w:rPr>
      </w:pPr>
      <w:r w:rsidRPr="004D4C57">
        <w:rPr>
          <w:sz w:val="22"/>
          <w:szCs w:val="22"/>
        </w:rPr>
        <w:t>(3) National Institute of Occupational Safety and Health (NIOSH) test method compendium, “NIOSH Manual of Analytical Methods,” NIOSH publication no. 94-113, Fourth Edition, August 15, 1994.</w:t>
      </w:r>
    </w:p>
    <w:p w:rsidR="003F210F" w:rsidRPr="004D4C57" w:rsidRDefault="003F210F" w:rsidP="004D4C57">
      <w:pPr>
        <w:pStyle w:val="NormalWeb"/>
        <w:rPr>
          <w:sz w:val="22"/>
          <w:szCs w:val="22"/>
        </w:rPr>
      </w:pPr>
      <w:r w:rsidRPr="004D4C57">
        <w:rPr>
          <w:sz w:val="22"/>
          <w:szCs w:val="22"/>
        </w:rPr>
        <w:t>(i) NIOSH Method 2010, “Amines, Aliphatic,” Issue 2, August 15, 1994, IBR approved for §63.7732(g).</w:t>
      </w:r>
    </w:p>
    <w:p w:rsidR="003F210F" w:rsidRPr="004D4C57" w:rsidRDefault="003F210F" w:rsidP="004D4C57">
      <w:pPr>
        <w:pStyle w:val="NormalWeb"/>
        <w:rPr>
          <w:sz w:val="22"/>
          <w:szCs w:val="22"/>
        </w:rPr>
      </w:pPr>
      <w:r w:rsidRPr="004D4C57">
        <w:rPr>
          <w:sz w:val="22"/>
          <w:szCs w:val="22"/>
        </w:rPr>
        <w:t>(ii) [Reserved]</w:t>
      </w:r>
    </w:p>
    <w:p w:rsidR="003F210F" w:rsidRPr="004D4C57" w:rsidRDefault="003F210F" w:rsidP="004D4C57">
      <w:pPr>
        <w:pStyle w:val="NormalWeb"/>
        <w:rPr>
          <w:sz w:val="22"/>
          <w:szCs w:val="22"/>
        </w:rPr>
      </w:pPr>
      <w:r w:rsidRPr="004D4C57">
        <w:rPr>
          <w:sz w:val="22"/>
          <w:szCs w:val="22"/>
        </w:rPr>
        <w:t xml:space="preserve">(q) North American Electric Reliability Corporation, 1325 G Street, NW., Suite 600, Washington, DC 20005-3801, </w:t>
      </w:r>
      <w:r w:rsidRPr="004D4C57">
        <w:rPr>
          <w:i/>
          <w:iCs/>
          <w:sz w:val="22"/>
          <w:szCs w:val="22"/>
        </w:rPr>
        <w:t>http://www.nerc.com, http://www.nerc.com/files/EOP0002-3_1.pdf.</w:t>
      </w:r>
    </w:p>
    <w:p w:rsidR="003F210F" w:rsidRPr="004D4C57" w:rsidRDefault="003F210F" w:rsidP="004D4C57">
      <w:pPr>
        <w:pStyle w:val="NormalWeb"/>
        <w:rPr>
          <w:sz w:val="22"/>
          <w:szCs w:val="22"/>
        </w:rPr>
      </w:pPr>
      <w:r w:rsidRPr="004D4C57">
        <w:rPr>
          <w:sz w:val="22"/>
          <w:szCs w:val="22"/>
        </w:rPr>
        <w:t>(1) North American Electric Reliability Corporation Reliability Standard EOP-002-3, Capacity and Energy Emergencies, adopted August 5, 2010, IBR approved for §63.6640(f).</w:t>
      </w:r>
    </w:p>
    <w:p w:rsidR="003F210F" w:rsidRPr="004D4C57" w:rsidRDefault="003F210F" w:rsidP="004D4C57">
      <w:pPr>
        <w:pStyle w:val="NormalWeb"/>
        <w:rPr>
          <w:sz w:val="22"/>
          <w:szCs w:val="22"/>
        </w:rPr>
      </w:pPr>
      <w:r w:rsidRPr="004D4C57">
        <w:rPr>
          <w:sz w:val="22"/>
          <w:szCs w:val="22"/>
        </w:rPr>
        <w:t>(</w:t>
      </w:r>
      <w:proofErr w:type="gramStart"/>
      <w:r w:rsidRPr="004D4C57">
        <w:rPr>
          <w:sz w:val="22"/>
          <w:szCs w:val="22"/>
        </w:rPr>
        <w:t>2)[</w:t>
      </w:r>
      <w:proofErr w:type="gramEnd"/>
      <w:r w:rsidRPr="004D4C57">
        <w:rPr>
          <w:sz w:val="22"/>
          <w:szCs w:val="22"/>
        </w:rPr>
        <w:t>Reserved]</w:t>
      </w:r>
    </w:p>
    <w:p w:rsidR="003F210F" w:rsidRPr="004D4C57" w:rsidRDefault="003F210F" w:rsidP="004D4C57">
      <w:pPr>
        <w:pStyle w:val="NormalWeb"/>
        <w:rPr>
          <w:sz w:val="22"/>
          <w:szCs w:val="22"/>
        </w:rPr>
      </w:pPr>
      <w:r w:rsidRPr="004D4C57">
        <w:rPr>
          <w:sz w:val="22"/>
          <w:szCs w:val="22"/>
        </w:rPr>
        <w:t xml:space="preserve">(r) Technical Association of the Pulp and Paper Industry (TAPPI), 15 Technology Parkway South, Norcross, GA 30092, (800) 332-8686, </w:t>
      </w:r>
      <w:r w:rsidRPr="004D4C57">
        <w:rPr>
          <w:i/>
          <w:iCs/>
          <w:sz w:val="22"/>
          <w:szCs w:val="22"/>
        </w:rPr>
        <w:t>http://www.tappi.org.</w:t>
      </w:r>
    </w:p>
    <w:p w:rsidR="003F210F" w:rsidRPr="004D4C57" w:rsidRDefault="003F210F" w:rsidP="004D4C57">
      <w:pPr>
        <w:pStyle w:val="NormalWeb"/>
        <w:rPr>
          <w:sz w:val="22"/>
          <w:szCs w:val="22"/>
        </w:rPr>
      </w:pPr>
      <w:r w:rsidRPr="004D4C57">
        <w:rPr>
          <w:sz w:val="22"/>
          <w:szCs w:val="22"/>
        </w:rPr>
        <w:t>(1) TAPPI T 266, Determination of Sodium, Calcium, Copper, Iron, and Manganese in Pulp and Paper by Atomic Absorption Spectroscopy (Reaffirmation of T 266 om-02), Draft No. 2, July 2006, IBR approved for table 6 to subpart DDDDD.</w:t>
      </w:r>
    </w:p>
    <w:p w:rsidR="003F210F" w:rsidRPr="004D4C57" w:rsidRDefault="003F210F" w:rsidP="004D4C57">
      <w:pPr>
        <w:pStyle w:val="NormalWeb"/>
        <w:rPr>
          <w:sz w:val="22"/>
          <w:szCs w:val="22"/>
        </w:rPr>
      </w:pPr>
      <w:r w:rsidRPr="004D4C57">
        <w:rPr>
          <w:sz w:val="22"/>
          <w:szCs w:val="22"/>
        </w:rPr>
        <w:t>(2) [Reserved]</w:t>
      </w:r>
    </w:p>
    <w:p w:rsidR="003F210F" w:rsidRPr="004D4C57" w:rsidRDefault="003F210F" w:rsidP="004D4C57">
      <w:pPr>
        <w:pStyle w:val="NormalWeb"/>
        <w:rPr>
          <w:sz w:val="22"/>
          <w:szCs w:val="22"/>
        </w:rPr>
      </w:pPr>
      <w:r w:rsidRPr="004D4C57">
        <w:rPr>
          <w:sz w:val="22"/>
          <w:szCs w:val="22"/>
        </w:rPr>
        <w:t xml:space="preserve">(s) Texas Commission on Environmental Quality (TCEQ) Library, Post Office Box 13087, Austin, Texas 78711-3087, telephone number (512) 239-0028, </w:t>
      </w:r>
      <w:r w:rsidRPr="004D4C57">
        <w:rPr>
          <w:i/>
          <w:iCs/>
          <w:sz w:val="22"/>
          <w:szCs w:val="22"/>
        </w:rPr>
        <w:t>http://www.tceq.state.tx.us/assets/public/implementation/air/sip/sipdocs/2002-12-HGB/02046sipapp_ado.pdf.</w:t>
      </w:r>
    </w:p>
    <w:p w:rsidR="003F210F" w:rsidRPr="004D4C57" w:rsidRDefault="003F210F" w:rsidP="004D4C57">
      <w:pPr>
        <w:pStyle w:val="NormalWeb"/>
        <w:rPr>
          <w:sz w:val="22"/>
          <w:szCs w:val="22"/>
        </w:rPr>
      </w:pPr>
      <w:r w:rsidRPr="004D4C57">
        <w:rPr>
          <w:sz w:val="22"/>
          <w:szCs w:val="22"/>
        </w:rPr>
        <w:t xml:space="preserve">(1) “Air Stripping Method (Modified El Paso Method) for Determination of Volatile Organic Compound Emissions from Water Sources,” Revision Number One, dated January 2003, Sampling Procedures Manual, </w:t>
      </w:r>
      <w:r w:rsidRPr="004D4C57">
        <w:rPr>
          <w:sz w:val="22"/>
          <w:szCs w:val="22"/>
        </w:rPr>
        <w:lastRenderedPageBreak/>
        <w:t>Appendix P: Cooling Tower Monitoring, January 31, 2003, IBR approved for §§63.654(c) and (g), 63.655(i), and 63.11920.</w:t>
      </w:r>
    </w:p>
    <w:p w:rsidR="003F210F" w:rsidRPr="004D4C57" w:rsidRDefault="003F210F" w:rsidP="004D4C57">
      <w:pPr>
        <w:pStyle w:val="NormalWeb"/>
        <w:rPr>
          <w:sz w:val="22"/>
          <w:szCs w:val="22"/>
        </w:rPr>
      </w:pPr>
      <w:r w:rsidRPr="004D4C57">
        <w:rPr>
          <w:sz w:val="22"/>
          <w:szCs w:val="22"/>
        </w:rPr>
        <w:t>(2) [Reserved]</w:t>
      </w:r>
    </w:p>
    <w:p w:rsidR="003F210F" w:rsidRPr="004D4C57" w:rsidRDefault="003F210F" w:rsidP="004D4C57">
      <w:pPr>
        <w:pStyle w:val="cita"/>
        <w:rPr>
          <w:sz w:val="22"/>
          <w:szCs w:val="22"/>
        </w:rPr>
      </w:pPr>
      <w:r w:rsidRPr="004D4C57">
        <w:rPr>
          <w:sz w:val="22"/>
          <w:szCs w:val="22"/>
        </w:rPr>
        <w:t>[79 FR 11277, Feb. 27, 2014, as amended at 79 FR 17363, Mar. 27, 2014; 80 FR 37389, June 30, 2015; 80 FR 50436, Aug. 19, 2015; 80 FR 56738, Sept. 18, 2015; 80 FR 62414, Oct. 15, 2015; 80 FR 65520, Oct. 26, 2015; 80 FR 75817, Dec. 4, 2015; 80 FR 75236, Dec. 1, 2015]</w:t>
      </w:r>
    </w:p>
    <w:p w:rsidR="003F210F" w:rsidRPr="004D4C57" w:rsidRDefault="003F210F" w:rsidP="004D4C57">
      <w:pPr>
        <w:pStyle w:val="Heading2"/>
        <w:rPr>
          <w:rFonts w:ascii="Times New Roman" w:hAnsi="Times New Roman" w:cs="Times New Roman"/>
          <w:sz w:val="22"/>
          <w:szCs w:val="22"/>
        </w:rPr>
      </w:pPr>
      <w:bookmarkStart w:id="21" w:name="se40.11.63_115"/>
      <w:bookmarkEnd w:id="21"/>
      <w:r w:rsidRPr="004D4C57">
        <w:rPr>
          <w:rFonts w:ascii="Times New Roman" w:hAnsi="Times New Roman" w:cs="Times New Roman"/>
          <w:sz w:val="22"/>
          <w:szCs w:val="22"/>
        </w:rPr>
        <w:t>§63.15   Availability of information and confidentiality.</w:t>
      </w:r>
    </w:p>
    <w:p w:rsidR="003F210F" w:rsidRPr="004D4C57" w:rsidRDefault="003F210F" w:rsidP="004D4C57">
      <w:pPr>
        <w:pStyle w:val="NormalWeb"/>
        <w:rPr>
          <w:sz w:val="22"/>
          <w:szCs w:val="22"/>
        </w:rPr>
      </w:pPr>
      <w:r w:rsidRPr="004D4C57">
        <w:rPr>
          <w:sz w:val="22"/>
          <w:szCs w:val="22"/>
        </w:rPr>
        <w:t xml:space="preserve">(a) </w:t>
      </w:r>
      <w:r w:rsidRPr="004D4C57">
        <w:rPr>
          <w:i/>
          <w:iCs/>
          <w:sz w:val="22"/>
          <w:szCs w:val="22"/>
        </w:rPr>
        <w:t>Availability of information.</w:t>
      </w:r>
      <w:r w:rsidRPr="004D4C57">
        <w:rPr>
          <w:sz w:val="22"/>
          <w:szCs w:val="22"/>
        </w:rPr>
        <w:t xml:space="preserve"> (1) </w:t>
      </w:r>
      <w:proofErr w:type="gramStart"/>
      <w:r w:rsidRPr="004D4C57">
        <w:rPr>
          <w:sz w:val="22"/>
          <w:szCs w:val="22"/>
        </w:rPr>
        <w:t>With the exception of</w:t>
      </w:r>
      <w:proofErr w:type="gramEnd"/>
      <w:r w:rsidRPr="004D4C57">
        <w:rPr>
          <w:sz w:val="22"/>
          <w:szCs w:val="22"/>
        </w:rPr>
        <w:t xml:space="preserve">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3F210F" w:rsidRPr="004D4C57" w:rsidRDefault="003F210F" w:rsidP="004D4C57">
      <w:pPr>
        <w:pStyle w:val="NormalWeb"/>
        <w:rPr>
          <w:sz w:val="22"/>
          <w:szCs w:val="22"/>
        </w:rPr>
      </w:pPr>
      <w:r w:rsidRPr="004D4C57">
        <w:rPr>
          <w:sz w:val="22"/>
          <w:szCs w:val="22"/>
        </w:rPr>
        <w:t xml:space="preserve">(2) The availability to the public of information provided to or otherwise obtained by the Administrator under this part shall be governed by part 2 of this chapter. </w:t>
      </w:r>
    </w:p>
    <w:p w:rsidR="003F210F" w:rsidRPr="004D4C57" w:rsidRDefault="003F210F" w:rsidP="004D4C57">
      <w:pPr>
        <w:pStyle w:val="NormalWeb"/>
        <w:rPr>
          <w:sz w:val="22"/>
          <w:szCs w:val="22"/>
        </w:rPr>
      </w:pPr>
      <w:r w:rsidRPr="004D4C57">
        <w:rPr>
          <w:sz w:val="22"/>
          <w:szCs w:val="22"/>
        </w:rPr>
        <w:t xml:space="preserve">(b) </w:t>
      </w:r>
      <w:r w:rsidRPr="004D4C57">
        <w:rPr>
          <w:i/>
          <w:iCs/>
          <w:sz w:val="22"/>
          <w:szCs w:val="22"/>
        </w:rPr>
        <w:t>Confidentiality.</w:t>
      </w:r>
      <w:r w:rsidRPr="004D4C57">
        <w:rPr>
          <w:sz w:val="22"/>
          <w:szCs w:val="22"/>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3F210F" w:rsidRPr="004D4C57" w:rsidRDefault="003F210F" w:rsidP="004D4C57">
      <w:pPr>
        <w:pStyle w:val="NormalWeb"/>
        <w:rPr>
          <w:sz w:val="22"/>
          <w:szCs w:val="22"/>
        </w:rPr>
      </w:pPr>
      <w:r w:rsidRPr="004D4C57">
        <w:rPr>
          <w:sz w:val="22"/>
          <w:szCs w:val="22"/>
        </w:rPr>
        <w:t>(2) The contents of a title V permit shall not be entitled to protection under section 114(c) of the Act; however, information submitted as part of an application for a title V permit may be entitled to protection from disclosure.</w:t>
      </w:r>
    </w:p>
    <w:p w:rsidR="003F210F" w:rsidRPr="004D4C57" w:rsidRDefault="003F210F" w:rsidP="004D4C57">
      <w:pPr>
        <w:pStyle w:val="Heading2"/>
        <w:rPr>
          <w:rFonts w:ascii="Times New Roman" w:hAnsi="Times New Roman" w:cs="Times New Roman"/>
          <w:sz w:val="22"/>
          <w:szCs w:val="22"/>
        </w:rPr>
      </w:pPr>
      <w:bookmarkStart w:id="22" w:name="se40.11.63_116"/>
      <w:bookmarkEnd w:id="22"/>
      <w:r w:rsidRPr="004D4C57">
        <w:rPr>
          <w:rFonts w:ascii="Times New Roman" w:hAnsi="Times New Roman" w:cs="Times New Roman"/>
          <w:sz w:val="22"/>
          <w:szCs w:val="22"/>
        </w:rPr>
        <w:t>§63.16   Performance Track Provisions.</w:t>
      </w:r>
    </w:p>
    <w:p w:rsidR="003F210F" w:rsidRPr="004D4C57" w:rsidRDefault="003F210F" w:rsidP="004D4C57">
      <w:pPr>
        <w:pStyle w:val="NormalWeb"/>
        <w:rPr>
          <w:sz w:val="22"/>
          <w:szCs w:val="22"/>
        </w:rPr>
      </w:pPr>
      <w:r w:rsidRPr="004D4C57">
        <w:rPr>
          <w:sz w:val="22"/>
          <w:szCs w:val="22"/>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3F210F" w:rsidRPr="004D4C57" w:rsidRDefault="003F210F" w:rsidP="004D4C57">
      <w:pPr>
        <w:pStyle w:val="NormalWeb"/>
        <w:rPr>
          <w:sz w:val="22"/>
          <w:szCs w:val="22"/>
        </w:rPr>
      </w:pPr>
      <w:r w:rsidRPr="004D4C57">
        <w:rPr>
          <w:sz w:val="22"/>
          <w:szCs w:val="22"/>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3F210F" w:rsidRPr="004D4C57" w:rsidRDefault="003F210F" w:rsidP="004D4C57">
      <w:pPr>
        <w:pStyle w:val="NormalWeb"/>
        <w:rPr>
          <w:sz w:val="22"/>
          <w:szCs w:val="22"/>
        </w:rPr>
      </w:pPr>
      <w:r w:rsidRPr="004D4C57">
        <w:rPr>
          <w:sz w:val="22"/>
          <w:szCs w:val="22"/>
        </w:rPr>
        <w:t xml:space="preserve">(1) Reduced its total HAP emissions to less than 25 tons per year; </w:t>
      </w:r>
    </w:p>
    <w:p w:rsidR="003F210F" w:rsidRPr="004D4C57" w:rsidRDefault="003F210F" w:rsidP="004D4C57">
      <w:pPr>
        <w:pStyle w:val="NormalWeb"/>
        <w:rPr>
          <w:sz w:val="22"/>
          <w:szCs w:val="22"/>
        </w:rPr>
      </w:pPr>
      <w:r w:rsidRPr="004D4C57">
        <w:rPr>
          <w:sz w:val="22"/>
          <w:szCs w:val="22"/>
        </w:rPr>
        <w:t xml:space="preserve">(2) Reduced its emissions of each individual HAP to less than 10 tons per year; and </w:t>
      </w:r>
    </w:p>
    <w:p w:rsidR="003F210F" w:rsidRPr="004D4C57" w:rsidRDefault="003F210F" w:rsidP="004D4C57">
      <w:pPr>
        <w:pStyle w:val="NormalWeb"/>
        <w:rPr>
          <w:sz w:val="22"/>
          <w:szCs w:val="22"/>
        </w:rPr>
      </w:pPr>
      <w:r w:rsidRPr="004D4C57">
        <w:rPr>
          <w:sz w:val="22"/>
          <w:szCs w:val="22"/>
        </w:rPr>
        <w:t>(3) Reduced emissions of all HAPs covered by each MACT standard to at least the level required for full compliance with the applicable emission standard.</w:t>
      </w:r>
    </w:p>
    <w:p w:rsidR="003F210F" w:rsidRPr="004D4C57" w:rsidRDefault="003F210F" w:rsidP="004D4C57">
      <w:pPr>
        <w:pStyle w:val="NormalWeb"/>
        <w:rPr>
          <w:sz w:val="22"/>
          <w:szCs w:val="22"/>
        </w:rPr>
      </w:pPr>
      <w:r w:rsidRPr="004D4C57">
        <w:rPr>
          <w:sz w:val="22"/>
          <w:szCs w:val="22"/>
        </w:rPr>
        <w:lastRenderedPageBreak/>
        <w:t>(c) For affected sources at any area source at a Performance Track member facility and which meet the requirements of paragraph (b)(3) of this section, or for affected sources at any major source that meet the requirements of paragraph (b) of this section:</w:t>
      </w:r>
    </w:p>
    <w:p w:rsidR="003F210F" w:rsidRPr="004D4C57" w:rsidRDefault="003F210F" w:rsidP="004D4C57">
      <w:pPr>
        <w:pStyle w:val="NormalWeb"/>
        <w:rPr>
          <w:sz w:val="22"/>
          <w:szCs w:val="22"/>
        </w:rPr>
      </w:pPr>
      <w:r w:rsidRPr="004D4C57">
        <w:rPr>
          <w:sz w:val="22"/>
          <w:szCs w:val="22"/>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3F210F" w:rsidRPr="004D4C57" w:rsidRDefault="003F210F" w:rsidP="004D4C57">
      <w:pPr>
        <w:pStyle w:val="NormalWeb"/>
        <w:rPr>
          <w:sz w:val="22"/>
          <w:szCs w:val="22"/>
        </w:rPr>
      </w:pPr>
      <w:r w:rsidRPr="004D4C57">
        <w:rPr>
          <w:sz w:val="22"/>
          <w:szCs w:val="22"/>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3F210F" w:rsidRPr="004D4C57" w:rsidRDefault="003F210F" w:rsidP="004D4C57">
      <w:pPr>
        <w:pStyle w:val="NormalWeb"/>
        <w:rPr>
          <w:sz w:val="22"/>
          <w:szCs w:val="22"/>
        </w:rPr>
      </w:pPr>
      <w:r w:rsidRPr="004D4C57">
        <w:rPr>
          <w:sz w:val="22"/>
          <w:szCs w:val="22"/>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3F210F" w:rsidRPr="004D4C57" w:rsidRDefault="003F210F" w:rsidP="004D4C57">
      <w:pPr>
        <w:pStyle w:val="NormalWeb"/>
        <w:rPr>
          <w:sz w:val="22"/>
          <w:szCs w:val="22"/>
        </w:rPr>
      </w:pPr>
      <w:r w:rsidRPr="004D4C57">
        <w:rPr>
          <w:sz w:val="22"/>
          <w:szCs w:val="22"/>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3F210F" w:rsidRPr="004D4C57" w:rsidRDefault="003F210F" w:rsidP="004D4C57">
      <w:pPr>
        <w:pStyle w:val="cita"/>
        <w:rPr>
          <w:sz w:val="22"/>
          <w:szCs w:val="22"/>
        </w:rPr>
      </w:pPr>
      <w:r w:rsidRPr="004D4C57">
        <w:rPr>
          <w:sz w:val="22"/>
          <w:szCs w:val="22"/>
        </w:rPr>
        <w:t>[69 FR 21753, Apr. 22, 2004]</w:t>
      </w:r>
    </w:p>
    <w:p w:rsidR="003F210F" w:rsidRPr="004D4C57" w:rsidRDefault="003F210F" w:rsidP="004D4C57">
      <w:pPr>
        <w:pStyle w:val="Heading2"/>
        <w:rPr>
          <w:rFonts w:ascii="Times New Roman" w:hAnsi="Times New Roman" w:cs="Times New Roman"/>
          <w:sz w:val="22"/>
          <w:szCs w:val="22"/>
        </w:rPr>
      </w:pPr>
      <w:bookmarkStart w:id="23" w:name="ap40.11.63_116.1"/>
      <w:bookmarkEnd w:id="23"/>
      <w:r w:rsidRPr="004D4C57">
        <w:rPr>
          <w:rFonts w:ascii="Times New Roman" w:hAnsi="Times New Roman" w:cs="Times New Roman"/>
          <w:sz w:val="22"/>
          <w:szCs w:val="22"/>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77"/>
        <w:gridCol w:w="4233"/>
      </w:tblGrid>
      <w:tr w:rsidR="003F210F" w:rsidRPr="004D4C57" w:rsidTr="003F210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F210F" w:rsidRPr="004D4C57" w:rsidRDefault="003F210F" w:rsidP="004D4C57">
            <w:pPr>
              <w:rPr>
                <w:b/>
                <w:bCs/>
                <w:szCs w:val="22"/>
              </w:rPr>
            </w:pPr>
            <w:r w:rsidRPr="004D4C57">
              <w:rPr>
                <w:b/>
                <w:bCs/>
                <w:szCs w:val="22"/>
              </w:rPr>
              <w:t>Monitoring frequency per subpart</w:t>
            </w:r>
            <w:r w:rsidRPr="004D4C57">
              <w:rPr>
                <w:b/>
                <w:bCs/>
                <w:szCs w:val="22"/>
                <w:vertAlign w:val="superscript"/>
              </w:rPr>
              <w:t>a</w:t>
            </w:r>
            <w:r w:rsidRPr="004D4C57">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F210F" w:rsidRPr="004D4C57" w:rsidRDefault="003F210F" w:rsidP="004D4C57">
            <w:pPr>
              <w:rPr>
                <w:b/>
                <w:bCs/>
                <w:szCs w:val="22"/>
              </w:rPr>
            </w:pPr>
            <w:r w:rsidRPr="004D4C57">
              <w:rPr>
                <w:b/>
                <w:bCs/>
                <w:szCs w:val="22"/>
              </w:rPr>
              <w:t xml:space="preserve">Detection sensitivity level </w:t>
            </w:r>
          </w:p>
        </w:tc>
      </w:tr>
      <w:tr w:rsidR="003F210F" w:rsidRPr="004D4C57" w:rsidTr="003F210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F210F" w:rsidRPr="004D4C57" w:rsidRDefault="003F210F" w:rsidP="004D4C57">
            <w:pPr>
              <w:rPr>
                <w:szCs w:val="22"/>
              </w:rPr>
            </w:pPr>
            <w:r w:rsidRPr="004D4C57">
              <w:rPr>
                <w:szCs w:val="22"/>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3F210F" w:rsidRPr="004D4C57" w:rsidRDefault="003F210F" w:rsidP="004D4C57">
            <w:pPr>
              <w:rPr>
                <w:szCs w:val="22"/>
              </w:rPr>
            </w:pPr>
            <w:r w:rsidRPr="004D4C57">
              <w:rPr>
                <w:szCs w:val="22"/>
              </w:rPr>
              <w:t xml:space="preserve">60 </w:t>
            </w:r>
          </w:p>
        </w:tc>
      </w:tr>
      <w:tr w:rsidR="003F210F" w:rsidRPr="004D4C57" w:rsidTr="003F210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F210F" w:rsidRPr="004D4C57" w:rsidRDefault="003F210F" w:rsidP="004D4C57">
            <w:pPr>
              <w:rPr>
                <w:szCs w:val="22"/>
              </w:rPr>
            </w:pPr>
            <w:r w:rsidRPr="004D4C57">
              <w:rPr>
                <w:szCs w:val="22"/>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3F210F" w:rsidRPr="004D4C57" w:rsidRDefault="003F210F" w:rsidP="004D4C57">
            <w:pPr>
              <w:rPr>
                <w:szCs w:val="22"/>
              </w:rPr>
            </w:pPr>
            <w:r w:rsidRPr="004D4C57">
              <w:rPr>
                <w:szCs w:val="22"/>
              </w:rPr>
              <w:t xml:space="preserve">85 </w:t>
            </w:r>
          </w:p>
        </w:tc>
      </w:tr>
      <w:tr w:rsidR="003F210F" w:rsidRPr="004D4C57" w:rsidTr="003F210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F210F" w:rsidRPr="004D4C57" w:rsidRDefault="003F210F" w:rsidP="004D4C57">
            <w:pPr>
              <w:rPr>
                <w:szCs w:val="22"/>
              </w:rPr>
            </w:pPr>
            <w:r w:rsidRPr="004D4C57">
              <w:rPr>
                <w:szCs w:val="22"/>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3F210F" w:rsidRPr="004D4C57" w:rsidRDefault="003F210F" w:rsidP="004D4C57">
            <w:pPr>
              <w:rPr>
                <w:szCs w:val="22"/>
              </w:rPr>
            </w:pPr>
            <w:r w:rsidRPr="004D4C57">
              <w:rPr>
                <w:szCs w:val="22"/>
              </w:rPr>
              <w:t xml:space="preserve">100 </w:t>
            </w:r>
          </w:p>
        </w:tc>
      </w:tr>
    </w:tbl>
    <w:p w:rsidR="00CA2B24" w:rsidRDefault="00CA2B24" w:rsidP="00CA2B24">
      <w:pPr>
        <w:pStyle w:val="gpotblnote"/>
        <w:rPr>
          <w:sz w:val="22"/>
          <w:szCs w:val="22"/>
          <w:vertAlign w:val="superscript"/>
        </w:rPr>
      </w:pPr>
    </w:p>
    <w:p w:rsidR="00CA2B24" w:rsidRDefault="00CA2B24">
      <w:pPr>
        <w:rPr>
          <w:szCs w:val="22"/>
          <w:vertAlign w:val="superscript"/>
        </w:rPr>
      </w:pPr>
      <w:r>
        <w:rPr>
          <w:szCs w:val="22"/>
          <w:vertAlign w:val="superscript"/>
        </w:rPr>
        <w:br w:type="page"/>
      </w:r>
    </w:p>
    <w:p w:rsidR="00697DB7" w:rsidRDefault="003F210F" w:rsidP="00CA2B24">
      <w:pPr>
        <w:pStyle w:val="gpotblnote"/>
        <w:rPr>
          <w:sz w:val="22"/>
          <w:szCs w:val="22"/>
        </w:rPr>
      </w:pPr>
      <w:r w:rsidRPr="004D4C57">
        <w:rPr>
          <w:sz w:val="22"/>
          <w:szCs w:val="22"/>
          <w:vertAlign w:val="superscript"/>
        </w:rPr>
        <w:lastRenderedPageBreak/>
        <w:t>a</w:t>
      </w:r>
      <w:r w:rsidRPr="004D4C57">
        <w:rPr>
          <w:sz w:val="22"/>
          <w:szCs w:val="22"/>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BD6F2F" w:rsidRDefault="003F210F" w:rsidP="00697DB7">
      <w:pPr>
        <w:pStyle w:val="gpotblnote"/>
        <w:ind w:firstLine="0"/>
        <w:rPr>
          <w:sz w:val="20"/>
        </w:rPr>
      </w:pPr>
      <w:r w:rsidRPr="004D4C57">
        <w:rPr>
          <w:sz w:val="22"/>
          <w:szCs w:val="22"/>
        </w:rPr>
        <w:t>[73 FR 78213, Dec. 22, 2008]</w:t>
      </w:r>
    </w:p>
    <w:p w:rsidR="00BD6F2F" w:rsidRDefault="00BD6F2F" w:rsidP="00980694">
      <w:pPr>
        <w:rPr>
          <w:sz w:val="20"/>
        </w:rPr>
      </w:pPr>
    </w:p>
    <w:p w:rsidR="00BD6F2F" w:rsidRDefault="00BD6F2F" w:rsidP="00980694">
      <w:pPr>
        <w:rPr>
          <w:sz w:val="20"/>
        </w:rPr>
      </w:pPr>
      <w:bookmarkStart w:id="24" w:name="_GoBack"/>
      <w:bookmarkEnd w:id="24"/>
    </w:p>
    <w:p w:rsidR="00BD6F2F" w:rsidRDefault="00BD6F2F" w:rsidP="00980694">
      <w:pPr>
        <w:rPr>
          <w:sz w:val="20"/>
        </w:rPr>
      </w:pPr>
    </w:p>
    <w:p w:rsidR="007841E9" w:rsidRDefault="007841E9" w:rsidP="007841E9">
      <w:hyperlink w:anchor="TOC" w:history="1">
        <w:r w:rsidRPr="00BD6F2F">
          <w:rPr>
            <w:rStyle w:val="Hyperlink"/>
          </w:rPr>
          <w:t>Table of Contents</w:t>
        </w:r>
      </w:hyperlink>
    </w:p>
    <w:p w:rsidR="00BD6F2F" w:rsidRDefault="00BD6F2F" w:rsidP="00980694">
      <w:pPr>
        <w:rPr>
          <w:sz w:val="20"/>
        </w:rPr>
      </w:pPr>
    </w:p>
    <w:p w:rsidR="0033790A" w:rsidRDefault="0033790A" w:rsidP="00980694">
      <w:pPr>
        <w:rPr>
          <w:sz w:val="20"/>
        </w:rPr>
        <w:sectPr w:rsidR="0033790A" w:rsidSect="00980694">
          <w:headerReference w:type="default" r:id="rId18"/>
          <w:footerReference w:type="default" r:id="rId19"/>
          <w:pgSz w:w="12240" w:h="15840" w:code="1"/>
          <w:pgMar w:top="1440" w:right="1080" w:bottom="1440" w:left="1080" w:header="720" w:footer="576" w:gutter="0"/>
          <w:paperSrc w:first="264" w:other="264"/>
          <w:cols w:space="720"/>
          <w:docGrid w:linePitch="299"/>
        </w:sectPr>
      </w:pPr>
    </w:p>
    <w:p w:rsidR="00EB486E" w:rsidRPr="00EB486E" w:rsidRDefault="00EB486E" w:rsidP="00EB486E">
      <w:pPr>
        <w:pStyle w:val="Heading3"/>
        <w:spacing w:before="0"/>
        <w:rPr>
          <w:rFonts w:ascii="Times New Roman" w:hAnsi="Times New Roman" w:cs="Times New Roman"/>
          <w:caps/>
          <w:sz w:val="22"/>
          <w:szCs w:val="22"/>
        </w:rPr>
      </w:pPr>
      <w:bookmarkStart w:id="25" w:name="GG"/>
      <w:r w:rsidRPr="00EB486E">
        <w:rPr>
          <w:rFonts w:ascii="Times New Roman" w:hAnsi="Times New Roman" w:cs="Times New Roman"/>
          <w:caps/>
          <w:sz w:val="22"/>
          <w:szCs w:val="22"/>
        </w:rPr>
        <w:lastRenderedPageBreak/>
        <w:t>Electronic</w:t>
      </w:r>
      <w:bookmarkEnd w:id="25"/>
      <w:r w:rsidRPr="00EB486E">
        <w:rPr>
          <w:rFonts w:ascii="Times New Roman" w:hAnsi="Times New Roman" w:cs="Times New Roman"/>
          <w:caps/>
          <w:sz w:val="22"/>
          <w:szCs w:val="22"/>
        </w:rPr>
        <w:t xml:space="preserve">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EB486E" w:rsidRPr="00EB486E" w:rsidTr="00EB486E">
        <w:trPr>
          <w:tblCellSpacing w:w="15" w:type="dxa"/>
          <w:jc w:val="center"/>
        </w:trPr>
        <w:tc>
          <w:tcPr>
            <w:tcW w:w="0" w:type="auto"/>
            <w:hideMark/>
          </w:tcPr>
          <w:p w:rsidR="00EB486E" w:rsidRPr="00EB486E" w:rsidRDefault="00EB486E" w:rsidP="00EB486E">
            <w:pPr>
              <w:pStyle w:val="updated"/>
              <w:jc w:val="left"/>
              <w:rPr>
                <w:rFonts w:ascii="Times New Roman" w:hAnsi="Times New Roman" w:cs="Times New Roman"/>
                <w:sz w:val="22"/>
                <w:szCs w:val="22"/>
              </w:rPr>
            </w:pPr>
            <w:r w:rsidRPr="00EB486E">
              <w:rPr>
                <w:rFonts w:ascii="Times New Roman" w:hAnsi="Times New Roman" w:cs="Times New Roman"/>
                <w:sz w:val="22"/>
                <w:szCs w:val="22"/>
              </w:rPr>
              <w:t>e-CFR data is current as of May 19, 2017</w:t>
            </w:r>
          </w:p>
        </w:tc>
      </w:tr>
    </w:tbl>
    <w:p w:rsidR="00EB486E" w:rsidRPr="00EB486E" w:rsidRDefault="00EB486E" w:rsidP="00EB486E">
      <w:pPr>
        <w:rPr>
          <w:vanish/>
          <w:szCs w:val="22"/>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804"/>
      </w:tblGrid>
      <w:tr w:rsidR="00EB486E" w:rsidRPr="00EB486E" w:rsidTr="00EB486E">
        <w:trPr>
          <w:tblCellSpacing w:w="15" w:type="dxa"/>
          <w:jc w:val="center"/>
        </w:trPr>
        <w:tc>
          <w:tcPr>
            <w:tcW w:w="0" w:type="auto"/>
            <w:hideMark/>
          </w:tcPr>
          <w:p w:rsidR="00EB486E" w:rsidRPr="00EB486E" w:rsidRDefault="00EB486E" w:rsidP="00EB486E">
            <w:pPr>
              <w:pStyle w:val="fp"/>
              <w:rPr>
                <w:sz w:val="22"/>
                <w:szCs w:val="22"/>
              </w:rPr>
            </w:pPr>
            <w:r w:rsidRPr="00EB486E">
              <w:rPr>
                <w:sz w:val="22"/>
                <w:szCs w:val="22"/>
              </w:rPr>
              <w:t>Title 40 → Chapter I → Subchapter C → Part 63 → Subpart GG</w:t>
            </w:r>
          </w:p>
          <w:p w:rsidR="00EB486E" w:rsidRPr="00EB486E" w:rsidRDefault="007841E9" w:rsidP="00EB486E">
            <w:pPr>
              <w:rPr>
                <w:szCs w:val="22"/>
              </w:rPr>
            </w:pPr>
            <w:r>
              <w:rPr>
                <w:szCs w:val="22"/>
              </w:rPr>
              <w:pict>
                <v:rect id="_x0000_i1029" style="width:0;height:1.5pt" o:hrstd="t" o:hrnoshade="t" o:hr="t" fillcolor="black" stroked="f"/>
              </w:pict>
            </w:r>
          </w:p>
        </w:tc>
      </w:tr>
    </w:tbl>
    <w:p w:rsidR="00EB486E" w:rsidRPr="00EB486E" w:rsidRDefault="00EB486E" w:rsidP="00EB486E">
      <w:pPr>
        <w:pStyle w:val="fp"/>
        <w:rPr>
          <w:sz w:val="22"/>
          <w:szCs w:val="22"/>
        </w:rPr>
      </w:pPr>
      <w:r w:rsidRPr="00EB486E">
        <w:rPr>
          <w:sz w:val="22"/>
          <w:szCs w:val="22"/>
        </w:rPr>
        <w:t xml:space="preserve">Title 40: Protection of Environment </w:t>
      </w:r>
      <w:r w:rsidRPr="00EB486E">
        <w:rPr>
          <w:sz w:val="22"/>
          <w:szCs w:val="22"/>
        </w:rPr>
        <w:br/>
        <w:t xml:space="preserve">PART 63—NATIONAL EMISSION STANDARDS FOR HAZARDOUS AIR POLLUTANTS FOR SOURCE CATEGORIES (CONTINUED) </w:t>
      </w:r>
    </w:p>
    <w:p w:rsidR="00EB486E" w:rsidRPr="00EB486E" w:rsidRDefault="007841E9" w:rsidP="00EB486E">
      <w:pPr>
        <w:rPr>
          <w:szCs w:val="22"/>
        </w:rPr>
      </w:pPr>
      <w:r>
        <w:rPr>
          <w:szCs w:val="22"/>
        </w:rPr>
        <w:pict>
          <v:rect id="_x0000_i1030" style="width:0;height:1.5pt" o:hrstd="t" o:hr="t" fillcolor="#a0a0a0" stroked="f"/>
        </w:pict>
      </w:r>
    </w:p>
    <w:p w:rsidR="00EB486E" w:rsidRPr="00EB486E" w:rsidRDefault="00EB486E" w:rsidP="00EB486E">
      <w:pPr>
        <w:pStyle w:val="Heading2"/>
        <w:rPr>
          <w:rFonts w:ascii="Times New Roman" w:hAnsi="Times New Roman" w:cs="Times New Roman"/>
          <w:sz w:val="22"/>
          <w:szCs w:val="22"/>
        </w:rPr>
      </w:pPr>
      <w:r w:rsidRPr="00EB486E">
        <w:rPr>
          <w:rFonts w:ascii="Times New Roman" w:hAnsi="Times New Roman" w:cs="Times New Roman"/>
          <w:sz w:val="22"/>
          <w:szCs w:val="22"/>
        </w:rPr>
        <w:t>Subpart GG—National Emission Standards for Aerospace Manufacturing and Rework Facilities</w:t>
      </w:r>
    </w:p>
    <w:p w:rsidR="00EB486E" w:rsidRPr="00EB486E" w:rsidRDefault="007841E9" w:rsidP="00EB486E">
      <w:pPr>
        <w:rPr>
          <w:szCs w:val="22"/>
        </w:rPr>
      </w:pPr>
      <w:r>
        <w:rPr>
          <w:szCs w:val="22"/>
        </w:rPr>
        <w:pict>
          <v:rect id="_x0000_i1031" style="width:0;height:1.5pt" o:hrstd="t" o:hr="t" fillcolor="#a0a0a0" stroked="f"/>
        </w:pict>
      </w:r>
    </w:p>
    <w:p w:rsidR="00EB486E" w:rsidRPr="00EB486E" w:rsidRDefault="00EB486E" w:rsidP="00EB486E">
      <w:pPr>
        <w:rPr>
          <w:szCs w:val="22"/>
        </w:rPr>
      </w:pPr>
      <w:r w:rsidRPr="00EB486E">
        <w:rPr>
          <w:b/>
          <w:bCs/>
          <w:szCs w:val="22"/>
        </w:rPr>
        <w:t>Contents</w:t>
      </w:r>
      <w:r w:rsidRPr="00EB486E">
        <w:rPr>
          <w:szCs w:val="22"/>
        </w:rPr>
        <w:br/>
        <w:t>§63.741   Applicability and designation of affected sources.</w:t>
      </w:r>
      <w:r w:rsidRPr="00EB486E">
        <w:rPr>
          <w:szCs w:val="22"/>
        </w:rPr>
        <w:br/>
        <w:t>§63.742   Definitions.</w:t>
      </w:r>
      <w:r w:rsidRPr="00EB486E">
        <w:rPr>
          <w:szCs w:val="22"/>
        </w:rPr>
        <w:br/>
        <w:t>§63.743   Standards: General.</w:t>
      </w:r>
      <w:r w:rsidRPr="00EB486E">
        <w:rPr>
          <w:szCs w:val="22"/>
        </w:rPr>
        <w:br/>
        <w:t>§63.744   Standards: Cleaning operations.</w:t>
      </w:r>
      <w:r w:rsidRPr="00EB486E">
        <w:rPr>
          <w:szCs w:val="22"/>
        </w:rPr>
        <w:br/>
        <w:t>§63.745   Standards: Primer, topcoat, and specialty coating application operations.</w:t>
      </w:r>
      <w:r w:rsidRPr="00EB486E">
        <w:rPr>
          <w:szCs w:val="22"/>
        </w:rPr>
        <w:br/>
        <w:t>§63.746   Standards: Depainting operations.</w:t>
      </w:r>
      <w:r w:rsidRPr="00EB486E">
        <w:rPr>
          <w:szCs w:val="22"/>
        </w:rPr>
        <w:br/>
        <w:t>§63.747   Standards: Chemical milling maskant application operations.</w:t>
      </w:r>
      <w:r w:rsidRPr="00EB486E">
        <w:rPr>
          <w:szCs w:val="22"/>
        </w:rPr>
        <w:br/>
        <w:t>§63.748   Standards: Handling and storage of waste.</w:t>
      </w:r>
      <w:r w:rsidRPr="00EB486E">
        <w:rPr>
          <w:szCs w:val="22"/>
        </w:rPr>
        <w:br/>
        <w:t>§63.749   Compliance dates and determinations.</w:t>
      </w:r>
      <w:r w:rsidRPr="00EB486E">
        <w:rPr>
          <w:szCs w:val="22"/>
        </w:rPr>
        <w:br/>
        <w:t>§63.750   Test methods and procedures.</w:t>
      </w:r>
      <w:r w:rsidRPr="00EB486E">
        <w:rPr>
          <w:szCs w:val="22"/>
        </w:rPr>
        <w:br/>
        <w:t>§63.751   Monitoring requirements.</w:t>
      </w:r>
      <w:r w:rsidRPr="00EB486E">
        <w:rPr>
          <w:szCs w:val="22"/>
        </w:rPr>
        <w:br/>
        <w:t>§63.752   Recordkeeping requirements.</w:t>
      </w:r>
      <w:r w:rsidRPr="00EB486E">
        <w:rPr>
          <w:szCs w:val="22"/>
        </w:rPr>
        <w:br/>
        <w:t>§63.753   Reporting requirements.</w:t>
      </w:r>
      <w:r w:rsidRPr="00EB486E">
        <w:rPr>
          <w:szCs w:val="22"/>
        </w:rPr>
        <w:br/>
        <w:t>§§63.754-63.758   [Reserved]</w:t>
      </w:r>
      <w:r w:rsidRPr="00EB486E">
        <w:rPr>
          <w:szCs w:val="22"/>
        </w:rPr>
        <w:br/>
        <w:t>§63.759   Implementation and enforcement.</w:t>
      </w:r>
      <w:r w:rsidRPr="00EB486E">
        <w:rPr>
          <w:szCs w:val="22"/>
        </w:rPr>
        <w:br/>
        <w:t>Table 1 to Subpart GG of Part 63—General Provisions Applicability to Subpart GG</w:t>
      </w:r>
      <w:r w:rsidRPr="00EB486E">
        <w:rPr>
          <w:szCs w:val="22"/>
        </w:rPr>
        <w:br/>
        <w:t>Appendix A to Subpart GG of Part 63—Specialty Coating Definitions</w:t>
      </w:r>
    </w:p>
    <w:p w:rsidR="00EB486E" w:rsidRPr="00EB486E" w:rsidRDefault="007841E9" w:rsidP="00EB486E">
      <w:pPr>
        <w:rPr>
          <w:szCs w:val="22"/>
        </w:rPr>
      </w:pPr>
      <w:r>
        <w:rPr>
          <w:szCs w:val="22"/>
        </w:rPr>
        <w:pict>
          <v:rect id="_x0000_i1032" style="width:0;height:1.5pt" o:hrstd="t" o:hr="t" fillcolor="#a0a0a0" stroked="f"/>
        </w:pict>
      </w:r>
    </w:p>
    <w:p w:rsidR="00EB486E" w:rsidRPr="00EB486E" w:rsidRDefault="00EB486E" w:rsidP="00EB486E">
      <w:pPr>
        <w:pStyle w:val="source"/>
        <w:rPr>
          <w:sz w:val="22"/>
          <w:szCs w:val="22"/>
        </w:rPr>
      </w:pPr>
      <w:r w:rsidRPr="00EB486E">
        <w:rPr>
          <w:smallCaps/>
          <w:sz w:val="22"/>
          <w:szCs w:val="22"/>
        </w:rPr>
        <w:t>Source:</w:t>
      </w:r>
      <w:r w:rsidRPr="00EB486E">
        <w:rPr>
          <w:sz w:val="22"/>
          <w:szCs w:val="22"/>
        </w:rPr>
        <w:t xml:space="preserve"> 60 FR 45956, Sept. 1, 1996, unless otherwise noted. </w:t>
      </w:r>
    </w:p>
    <w:p w:rsidR="00EB486E" w:rsidRPr="00EB486E" w:rsidRDefault="00EB486E" w:rsidP="00EB486E">
      <w:pPr>
        <w:pStyle w:val="Heading2"/>
        <w:rPr>
          <w:rFonts w:ascii="Times New Roman" w:hAnsi="Times New Roman" w:cs="Times New Roman"/>
          <w:sz w:val="22"/>
          <w:szCs w:val="22"/>
        </w:rPr>
      </w:pPr>
      <w:bookmarkStart w:id="26" w:name="se40.12.63_1741"/>
      <w:bookmarkEnd w:id="26"/>
      <w:r w:rsidRPr="00EB486E">
        <w:rPr>
          <w:rFonts w:ascii="Times New Roman" w:hAnsi="Times New Roman" w:cs="Times New Roman"/>
          <w:sz w:val="22"/>
          <w:szCs w:val="22"/>
        </w:rPr>
        <w:t>§63.741   Applicability and designation of affected sources.</w:t>
      </w:r>
    </w:p>
    <w:p w:rsidR="00EB486E" w:rsidRPr="00EB486E" w:rsidRDefault="00EB486E" w:rsidP="00EB486E">
      <w:pPr>
        <w:pStyle w:val="NormalWeb"/>
        <w:rPr>
          <w:sz w:val="22"/>
          <w:szCs w:val="22"/>
        </w:rPr>
      </w:pPr>
      <w:r w:rsidRPr="00EB486E">
        <w:rPr>
          <w:sz w:val="22"/>
          <w:szCs w:val="22"/>
        </w:rPr>
        <w:t>(a) This subpart applies to facilities that are engaged, either in part or in whole, in the manufacture or rework of commercial, civil, or military aerospace vehicles or components and that are major sources as defined in §63.2.</w:t>
      </w:r>
    </w:p>
    <w:p w:rsidR="00EB486E" w:rsidRPr="00EB486E" w:rsidRDefault="00EB486E" w:rsidP="00EB486E">
      <w:pPr>
        <w:pStyle w:val="NormalWeb"/>
        <w:rPr>
          <w:sz w:val="22"/>
          <w:szCs w:val="22"/>
        </w:rPr>
      </w:pPr>
      <w:r w:rsidRPr="00EB486E">
        <w:rPr>
          <w:sz w:val="22"/>
          <w:szCs w:val="22"/>
        </w:rPr>
        <w:t>(b) The owner or operator of an affected source shall comply with the requirements of this subpart and of subpart A of this part, except as specified in §63.743(a) and Table 1 of this subpart.</w:t>
      </w:r>
    </w:p>
    <w:p w:rsidR="00EB486E" w:rsidRPr="00EB486E" w:rsidRDefault="00EB486E" w:rsidP="00EB486E">
      <w:pPr>
        <w:pStyle w:val="NormalWeb"/>
        <w:rPr>
          <w:sz w:val="22"/>
          <w:szCs w:val="22"/>
        </w:rPr>
      </w:pPr>
      <w:r w:rsidRPr="00EB486E">
        <w:rPr>
          <w:sz w:val="22"/>
          <w:szCs w:val="22"/>
        </w:rPr>
        <w:t xml:space="preserve">(c) </w:t>
      </w:r>
      <w:r w:rsidRPr="00EB486E">
        <w:rPr>
          <w:i/>
          <w:iCs/>
          <w:sz w:val="22"/>
          <w:szCs w:val="22"/>
        </w:rPr>
        <w:t>Affected sources.</w:t>
      </w:r>
      <w:r w:rsidRPr="00EB486E">
        <w:rPr>
          <w:sz w:val="22"/>
          <w:szCs w:val="22"/>
        </w:rPr>
        <w:t xml:space="preserve"> The affected sources to which the provisions of this subpart apply are specified in paragraphs (c)(1) through (8) of this section. The activities subject to this subpart are limited to the manufacture or rework of aerospace vehicles or components as defined in this subpart. Where a dispute arises relating to the </w:t>
      </w:r>
      <w:r w:rsidRPr="00EB486E">
        <w:rPr>
          <w:sz w:val="22"/>
          <w:szCs w:val="22"/>
        </w:rPr>
        <w:lastRenderedPageBreak/>
        <w:t xml:space="preserve">applicability of this subpart to a specific activity, the owner or operator shall demonstrate </w:t>
      </w:r>
      <w:proofErr w:type="gramStart"/>
      <w:r w:rsidRPr="00EB486E">
        <w:rPr>
          <w:sz w:val="22"/>
          <w:szCs w:val="22"/>
        </w:rPr>
        <w:t>whether or not</w:t>
      </w:r>
      <w:proofErr w:type="gramEnd"/>
      <w:r w:rsidRPr="00EB486E">
        <w:rPr>
          <w:sz w:val="22"/>
          <w:szCs w:val="22"/>
        </w:rPr>
        <w:t xml:space="preserve"> the activity is regulated under this subpart.</w:t>
      </w:r>
    </w:p>
    <w:p w:rsidR="00EB486E" w:rsidRPr="00EB486E" w:rsidRDefault="00EB486E" w:rsidP="00EB486E">
      <w:pPr>
        <w:pStyle w:val="NormalWeb"/>
        <w:rPr>
          <w:sz w:val="22"/>
          <w:szCs w:val="22"/>
        </w:rPr>
      </w:pPr>
      <w:r w:rsidRPr="00EB486E">
        <w:rPr>
          <w:sz w:val="22"/>
          <w:szCs w:val="22"/>
        </w:rPr>
        <w:t>(1) Each cleaning operation as follows:</w:t>
      </w:r>
    </w:p>
    <w:p w:rsidR="00EB486E" w:rsidRPr="00EB486E" w:rsidRDefault="00EB486E" w:rsidP="00EB486E">
      <w:pPr>
        <w:pStyle w:val="NormalWeb"/>
        <w:rPr>
          <w:sz w:val="22"/>
          <w:szCs w:val="22"/>
        </w:rPr>
      </w:pPr>
      <w:r w:rsidRPr="00EB486E">
        <w:rPr>
          <w:sz w:val="22"/>
          <w:szCs w:val="22"/>
        </w:rPr>
        <w:t>(i) All hand-wipe cleaning operations constitute an affected source.</w:t>
      </w:r>
    </w:p>
    <w:p w:rsidR="00EB486E" w:rsidRPr="00EB486E" w:rsidRDefault="00EB486E" w:rsidP="00EB486E">
      <w:pPr>
        <w:pStyle w:val="NormalWeb"/>
        <w:rPr>
          <w:sz w:val="22"/>
          <w:szCs w:val="22"/>
        </w:rPr>
      </w:pPr>
      <w:r w:rsidRPr="00EB486E">
        <w:rPr>
          <w:sz w:val="22"/>
          <w:szCs w:val="22"/>
        </w:rPr>
        <w:t>(ii) Each spray gun cleaning operation constitutes an affected source.</w:t>
      </w:r>
    </w:p>
    <w:p w:rsidR="00EB486E" w:rsidRPr="00EB486E" w:rsidRDefault="00EB486E" w:rsidP="00EB486E">
      <w:pPr>
        <w:pStyle w:val="NormalWeb"/>
        <w:rPr>
          <w:sz w:val="22"/>
          <w:szCs w:val="22"/>
        </w:rPr>
      </w:pPr>
      <w:r w:rsidRPr="00EB486E">
        <w:rPr>
          <w:sz w:val="22"/>
          <w:szCs w:val="22"/>
        </w:rPr>
        <w:t>(iii) All flush cleaning operations constitute an affected source.</w:t>
      </w:r>
    </w:p>
    <w:p w:rsidR="00EB486E" w:rsidRPr="00EB486E" w:rsidRDefault="00EB486E" w:rsidP="00EB486E">
      <w:pPr>
        <w:pStyle w:val="NormalWeb"/>
        <w:rPr>
          <w:sz w:val="22"/>
          <w:szCs w:val="22"/>
        </w:rPr>
      </w:pPr>
      <w:r w:rsidRPr="00EB486E">
        <w:rPr>
          <w:sz w:val="22"/>
          <w:szCs w:val="22"/>
        </w:rPr>
        <w:t>(2) For organic HAP or VOC emissions, each primer application operation, which is the total of all primer applications at the facility.</w:t>
      </w:r>
    </w:p>
    <w:p w:rsidR="00EB486E" w:rsidRPr="00EB486E" w:rsidRDefault="00EB486E" w:rsidP="00EB486E">
      <w:pPr>
        <w:pStyle w:val="NormalWeb"/>
        <w:rPr>
          <w:sz w:val="22"/>
          <w:szCs w:val="22"/>
        </w:rPr>
      </w:pPr>
      <w:r w:rsidRPr="00EB486E">
        <w:rPr>
          <w:sz w:val="22"/>
          <w:szCs w:val="22"/>
        </w:rPr>
        <w:t>(3) For organic HAP or VOC emissions, each topcoat application operation, which is the total of all topcoat applications at the facility.</w:t>
      </w:r>
    </w:p>
    <w:p w:rsidR="00EB486E" w:rsidRPr="00EB486E" w:rsidRDefault="00EB486E" w:rsidP="00EB486E">
      <w:pPr>
        <w:pStyle w:val="NormalWeb"/>
        <w:rPr>
          <w:sz w:val="22"/>
          <w:szCs w:val="22"/>
        </w:rPr>
      </w:pPr>
      <w:r w:rsidRPr="00EB486E">
        <w:rPr>
          <w:sz w:val="22"/>
          <w:szCs w:val="22"/>
        </w:rPr>
        <w:t>(4) For organic HAP or VOC emissions, each specialty coating application operation, which is the total of all specialty coating applications at the facility.</w:t>
      </w:r>
    </w:p>
    <w:p w:rsidR="00EB486E" w:rsidRPr="00EB486E" w:rsidRDefault="00EB486E" w:rsidP="00EB486E">
      <w:pPr>
        <w:pStyle w:val="NormalWeb"/>
        <w:rPr>
          <w:sz w:val="22"/>
          <w:szCs w:val="22"/>
        </w:rPr>
      </w:pPr>
      <w:r w:rsidRPr="00EB486E">
        <w:rPr>
          <w:sz w:val="22"/>
          <w:szCs w:val="22"/>
        </w:rPr>
        <w:t>(5) For organic HAP or VOC emissions, each depainting operation, which is the total of all depainting at the facility.</w:t>
      </w:r>
    </w:p>
    <w:p w:rsidR="00EB486E" w:rsidRPr="00EB486E" w:rsidRDefault="00EB486E" w:rsidP="00EB486E">
      <w:pPr>
        <w:pStyle w:val="NormalWeb"/>
        <w:rPr>
          <w:sz w:val="22"/>
          <w:szCs w:val="22"/>
        </w:rPr>
      </w:pPr>
      <w:r w:rsidRPr="00EB486E">
        <w:rPr>
          <w:sz w:val="22"/>
          <w:szCs w:val="22"/>
        </w:rPr>
        <w:t>(6) Each chemical milling maskant application operation, which is the total of all chemical milling maskant applications at the facility.</w:t>
      </w:r>
    </w:p>
    <w:p w:rsidR="00EB486E" w:rsidRPr="00EB486E" w:rsidRDefault="00EB486E" w:rsidP="00EB486E">
      <w:pPr>
        <w:pStyle w:val="NormalWeb"/>
        <w:rPr>
          <w:sz w:val="22"/>
          <w:szCs w:val="22"/>
        </w:rPr>
      </w:pPr>
      <w:r w:rsidRPr="00EB486E">
        <w:rPr>
          <w:sz w:val="22"/>
          <w:szCs w:val="22"/>
        </w:rPr>
        <w:t xml:space="preserve">(7) Each waste storage and handling operation, which is the total of all waste handling and storage at the facility. </w:t>
      </w:r>
    </w:p>
    <w:p w:rsidR="00EB486E" w:rsidRPr="00EB486E" w:rsidRDefault="00EB486E" w:rsidP="00EB486E">
      <w:pPr>
        <w:pStyle w:val="NormalWeb"/>
        <w:rPr>
          <w:sz w:val="22"/>
          <w:szCs w:val="22"/>
        </w:rPr>
      </w:pPr>
      <w:r w:rsidRPr="00EB486E">
        <w:rPr>
          <w:sz w:val="22"/>
          <w:szCs w:val="22"/>
        </w:rPr>
        <w:t>(8) For inorganic HAP emissions, each spray booth, portable enclosure, or hangar that contains a primer, topcoat, or specialty coating application operation subject to §63.745(g), or a depainting operation subject to §63.746(b)(4).</w:t>
      </w:r>
    </w:p>
    <w:p w:rsidR="00EB486E" w:rsidRPr="00EB486E" w:rsidRDefault="00EB486E" w:rsidP="00EB486E">
      <w:pPr>
        <w:pStyle w:val="NormalWeb"/>
        <w:rPr>
          <w:sz w:val="22"/>
          <w:szCs w:val="22"/>
        </w:rPr>
      </w:pPr>
      <w:r w:rsidRPr="00EB486E">
        <w:rPr>
          <w:sz w:val="22"/>
          <w:szCs w:val="22"/>
        </w:rPr>
        <w:t xml:space="preserve">(d) An owner or operator of an affected source subject to this subpart shall obtain an operating permit from the permitting authority in the State in which the source is located. The owner or operator shall apply for and obtain such permit in accordance with the regulations contained in part 70 of this chapter and in applicable State regulations. </w:t>
      </w:r>
    </w:p>
    <w:p w:rsidR="00EB486E" w:rsidRPr="00EB486E" w:rsidRDefault="00EB486E" w:rsidP="00EB486E">
      <w:pPr>
        <w:pStyle w:val="NormalWeb"/>
        <w:rPr>
          <w:sz w:val="22"/>
          <w:szCs w:val="22"/>
        </w:rPr>
      </w:pPr>
      <w:r w:rsidRPr="00EB486E">
        <w:rPr>
          <w:sz w:val="22"/>
          <w:szCs w:val="22"/>
        </w:rPr>
        <w:t>(e) [Reserved]</w:t>
      </w:r>
    </w:p>
    <w:p w:rsidR="00EB486E" w:rsidRPr="00EB486E" w:rsidRDefault="00EB486E" w:rsidP="00EB486E">
      <w:pPr>
        <w:pStyle w:val="NormalWeb"/>
        <w:rPr>
          <w:sz w:val="22"/>
          <w:szCs w:val="22"/>
        </w:rPr>
      </w:pPr>
      <w:r w:rsidRPr="00702DD5">
        <w:rPr>
          <w:sz w:val="22"/>
          <w:szCs w:val="22"/>
        </w:rPr>
        <w:t xml:space="preserve">(f) This subpart does not regulate research and development, quality control, and laboratory testing activities, chemical milling, metal finishing, electrodeposition (except for electrodeposition of paints), composites processing (except for cleaning and coating of composite parts or components that become part of an aerospace vehicle or component as well as composite tooling that comes in contact with such composite parts or components prior to cure), electronic parts and assemblies (except for cleaning and topcoating of completed assemblies), manufacture of aircraft transparencies, and wastewater operations at aerospace facilities. These requirements do not apply to the rework of aircraft or aircraft components if the holder of the Federal Aviation Administration (FAA) design approval, or the holder's licensee, is not actively manufacturing the aircraft or aircraft components. </w:t>
      </w:r>
      <w:r w:rsidRPr="00702DD5">
        <w:rPr>
          <w:sz w:val="22"/>
          <w:szCs w:val="22"/>
        </w:rPr>
        <w:lastRenderedPageBreak/>
        <w:t xml:space="preserve">These requirements also do not apply to parts and assemblies not critical to the vehicle's structural integrity or flight performance. </w:t>
      </w:r>
      <w:bookmarkStart w:id="27" w:name="_Hlk483549872"/>
      <w:r w:rsidRPr="006A1D3D">
        <w:rPr>
          <w:sz w:val="22"/>
          <w:szCs w:val="22"/>
        </w:rPr>
        <w:t>The requirements of this subpart do not apply to primers, topcoats, specialty coatings, chemical milling maskants, strippers, and cleaning solvents that meet the definition of non-HAP material, as determined from manufacturer's representations, such as in a material safety data sheet or product data sheet, or testing, except that if an owner or operator chooses to include one or more non-HAP primer, topcoat, specialty coating, or chemical milling maskant in averaging under §63.743(d), then the recordkeeping requirements of §63.752(c)(4) shall apply.</w:t>
      </w:r>
      <w:bookmarkEnd w:id="27"/>
      <w:r w:rsidRPr="00702DD5">
        <w:rPr>
          <w:sz w:val="22"/>
          <w:szCs w:val="22"/>
        </w:rPr>
        <w:t xml:space="preserve"> The requirements of this subpart also do not apply to primers, topcoats, and specialty coatings that meet the definition of “classified national security information” in §63.742. Additional specific exemptions from regulatory coverage are set forth in paragraphs (e), (g), (h), (i) and (j) of this section and §§63.742, 63.744(a)(1), (b), (e), 63.745(a), (f)(3), (g)(4), 63.746(a), (b)(5), 63.747(c)(3), and 63.749(d).</w:t>
      </w:r>
    </w:p>
    <w:p w:rsidR="00EB486E" w:rsidRPr="00EB486E" w:rsidRDefault="00EB486E" w:rsidP="00EB486E">
      <w:pPr>
        <w:pStyle w:val="NormalWeb"/>
        <w:rPr>
          <w:sz w:val="22"/>
          <w:szCs w:val="22"/>
        </w:rPr>
      </w:pPr>
      <w:r w:rsidRPr="00EB486E">
        <w:rPr>
          <w:sz w:val="22"/>
          <w:szCs w:val="22"/>
        </w:rPr>
        <w:t>(g) The requirements for primers, topcoats, specialty coatings, and chemical milling maskants in §§63.745 and 63.747 do not apply to the use of low-volume coatings in these categories for which the annual total of each separate formulation used at a facility does not exceed 189 l (50 gal), and the combined annual total of all such primers, topcoats, specialty coatings, and chemical milling maskants used at a facility does not exceed 757 l (200 gal). Primers, topcoats, and specialty coatings exempted under paragraph (f) of this section and under §63.745(f)(3) and (g)(4) are not included in the 50 and 200 gal limits. Chemical milling maskants exempted under §63.747(c)(3) are also not included in these limits.</w:t>
      </w:r>
    </w:p>
    <w:p w:rsidR="00EB486E" w:rsidRPr="00EB486E" w:rsidRDefault="00EB486E" w:rsidP="00EB486E">
      <w:pPr>
        <w:pStyle w:val="NormalWeb"/>
        <w:rPr>
          <w:sz w:val="22"/>
          <w:szCs w:val="22"/>
        </w:rPr>
      </w:pPr>
      <w:r w:rsidRPr="00EB486E">
        <w:rPr>
          <w:sz w:val="22"/>
          <w:szCs w:val="22"/>
        </w:rPr>
        <w:t>(h) Regulated activities associated with space vehicles designed to travel beyond the limit of the earth's atmosphere, including but not limited to satellites, space stations, and the Space Shuttle System (including orbiter, external tanks, and solid rocket boosters), are exempt from the requirements of this subpart, except for depainting operations found in §63.746.</w:t>
      </w:r>
    </w:p>
    <w:p w:rsidR="00EB486E" w:rsidRPr="00EB486E" w:rsidRDefault="00EB486E" w:rsidP="00EB486E">
      <w:pPr>
        <w:pStyle w:val="NormalWeb"/>
        <w:rPr>
          <w:sz w:val="22"/>
          <w:szCs w:val="22"/>
        </w:rPr>
      </w:pPr>
      <w:r w:rsidRPr="00EB486E">
        <w:rPr>
          <w:sz w:val="22"/>
          <w:szCs w:val="22"/>
        </w:rPr>
        <w:t>(i) Any waterborne coating for which the manufacturer's supplied data demonstrate that organic HAP and VOC contents are less than or equal to the organic HAP and VOC content limits for its coating type, as specified in §§63.745(c) and 63.747(c), is exempt from the following requirements of this subpart: §§63.745 (d) and (e), 63.747(d) and (e), 63.749 (d) and (h), 63.750 (c) through (h) and (k) through (n), 63.752 (c) and (f), and 63.753 (c) and (e). A facility shall maintain the manufacturer's supplied data and annual purchase records for each exempt waterborne coating readily available for inspection and review and shall retain these data for 5 years.</w:t>
      </w:r>
    </w:p>
    <w:p w:rsidR="00EB486E" w:rsidRPr="00EB486E" w:rsidRDefault="00EB486E" w:rsidP="00EB486E">
      <w:pPr>
        <w:pStyle w:val="NormalWeb"/>
        <w:rPr>
          <w:sz w:val="22"/>
          <w:szCs w:val="22"/>
        </w:rPr>
      </w:pPr>
      <w:r w:rsidRPr="00EB486E">
        <w:rPr>
          <w:sz w:val="22"/>
          <w:szCs w:val="22"/>
        </w:rPr>
        <w:t>(j) Regulated activities associated with the rework of antique aerospace vehicles or components are exempt from the requirements of this subpart.</w:t>
      </w:r>
    </w:p>
    <w:p w:rsidR="00EB486E" w:rsidRPr="00EB486E" w:rsidRDefault="00EB486E" w:rsidP="00EB486E">
      <w:pPr>
        <w:pStyle w:val="cita"/>
        <w:rPr>
          <w:sz w:val="22"/>
          <w:szCs w:val="22"/>
        </w:rPr>
      </w:pPr>
      <w:r w:rsidRPr="00EB486E">
        <w:rPr>
          <w:sz w:val="22"/>
          <w:szCs w:val="22"/>
        </w:rPr>
        <w:t>[60 FR 45956, Sept. 1, 1996, as amended at 63 FR 15016, Mar. 27, 1998; 63 FR 46532, Sept. 1, 1998; 80 FR 76179, Dec. 7, 2015]</w:t>
      </w:r>
    </w:p>
    <w:p w:rsidR="00EB486E" w:rsidRPr="00EB486E" w:rsidRDefault="00EB486E" w:rsidP="00EB486E">
      <w:pPr>
        <w:pStyle w:val="Heading2"/>
        <w:rPr>
          <w:rFonts w:ascii="Times New Roman" w:hAnsi="Times New Roman" w:cs="Times New Roman"/>
          <w:sz w:val="22"/>
          <w:szCs w:val="22"/>
        </w:rPr>
      </w:pPr>
      <w:bookmarkStart w:id="28" w:name="se40.12.63_1742"/>
      <w:bookmarkEnd w:id="28"/>
      <w:r w:rsidRPr="00EB486E">
        <w:rPr>
          <w:rFonts w:ascii="Times New Roman" w:hAnsi="Times New Roman" w:cs="Times New Roman"/>
          <w:sz w:val="22"/>
          <w:szCs w:val="22"/>
        </w:rPr>
        <w:t>§63.742   Definitions.</w:t>
      </w:r>
    </w:p>
    <w:p w:rsidR="00EB486E" w:rsidRPr="00EB486E" w:rsidRDefault="00EB486E" w:rsidP="00EB486E">
      <w:pPr>
        <w:pStyle w:val="NormalWeb"/>
        <w:rPr>
          <w:sz w:val="22"/>
          <w:szCs w:val="22"/>
        </w:rPr>
      </w:pPr>
      <w:r w:rsidRPr="00EB486E">
        <w:rPr>
          <w:sz w:val="22"/>
          <w:szCs w:val="22"/>
        </w:rPr>
        <w:t xml:space="preserve">Terms used in this subpart are defined in the Act, in subpart A of this part, or in this section as follows: </w:t>
      </w:r>
    </w:p>
    <w:p w:rsidR="00EB486E" w:rsidRPr="00EB486E" w:rsidRDefault="00EB486E" w:rsidP="00EB486E">
      <w:pPr>
        <w:pStyle w:val="NormalWeb"/>
        <w:rPr>
          <w:sz w:val="22"/>
          <w:szCs w:val="22"/>
        </w:rPr>
      </w:pPr>
      <w:r w:rsidRPr="00EB486E">
        <w:rPr>
          <w:i/>
          <w:iCs/>
          <w:sz w:val="22"/>
          <w:szCs w:val="22"/>
        </w:rPr>
        <w:t>Aerospace facility</w:t>
      </w:r>
      <w:r w:rsidRPr="00EB486E">
        <w:rPr>
          <w:sz w:val="22"/>
          <w:szCs w:val="22"/>
        </w:rPr>
        <w:t xml:space="preserve"> means any facility that produces, reworks, or repairs in any amount any commercial, civil, or military aerospace vehicle or component. </w:t>
      </w:r>
    </w:p>
    <w:p w:rsidR="00EB486E" w:rsidRPr="00EB486E" w:rsidRDefault="00EB486E" w:rsidP="00EB486E">
      <w:pPr>
        <w:pStyle w:val="NormalWeb"/>
        <w:rPr>
          <w:sz w:val="22"/>
          <w:szCs w:val="22"/>
        </w:rPr>
      </w:pPr>
      <w:r w:rsidRPr="00EB486E">
        <w:rPr>
          <w:i/>
          <w:iCs/>
          <w:sz w:val="22"/>
          <w:szCs w:val="22"/>
        </w:rPr>
        <w:t>Aerospace vehicle or component</w:t>
      </w:r>
      <w:r w:rsidRPr="00EB486E">
        <w:rPr>
          <w:sz w:val="22"/>
          <w:szCs w:val="22"/>
        </w:rPr>
        <w:t xml:space="preserve"> means any fabricated part, processed part, assembly of parts, or completed unit, </w:t>
      </w:r>
      <w:proofErr w:type="gramStart"/>
      <w:r w:rsidRPr="00EB486E">
        <w:rPr>
          <w:sz w:val="22"/>
          <w:szCs w:val="22"/>
        </w:rPr>
        <w:t>with the exception of</w:t>
      </w:r>
      <w:proofErr w:type="gramEnd"/>
      <w:r w:rsidRPr="00EB486E">
        <w:rPr>
          <w:sz w:val="22"/>
          <w:szCs w:val="22"/>
        </w:rPr>
        <w:t xml:space="preserve"> electronic components, of any aircraft including but not limited to airplanes, helicopters, missiles, rockets, and space vehicles. </w:t>
      </w:r>
    </w:p>
    <w:p w:rsidR="00EB486E" w:rsidRPr="00EB486E" w:rsidRDefault="00EB486E" w:rsidP="00EB486E">
      <w:pPr>
        <w:pStyle w:val="NormalWeb"/>
        <w:rPr>
          <w:sz w:val="22"/>
          <w:szCs w:val="22"/>
        </w:rPr>
      </w:pPr>
      <w:r w:rsidRPr="00EB486E">
        <w:rPr>
          <w:i/>
          <w:iCs/>
          <w:sz w:val="22"/>
          <w:szCs w:val="22"/>
        </w:rPr>
        <w:lastRenderedPageBreak/>
        <w:t>Aircraft fluid systems</w:t>
      </w:r>
      <w:r w:rsidRPr="00EB486E">
        <w:rPr>
          <w:sz w:val="22"/>
          <w:szCs w:val="22"/>
        </w:rPr>
        <w:t xml:space="preserve"> means those systems that handle hydraulic fluids, fuel, cooling fluids, or oils. </w:t>
      </w:r>
    </w:p>
    <w:p w:rsidR="00EB486E" w:rsidRPr="00EB486E" w:rsidRDefault="00EB486E" w:rsidP="00EB486E">
      <w:pPr>
        <w:pStyle w:val="NormalWeb"/>
        <w:rPr>
          <w:sz w:val="22"/>
          <w:szCs w:val="22"/>
        </w:rPr>
      </w:pPr>
      <w:r w:rsidRPr="00EB486E">
        <w:rPr>
          <w:i/>
          <w:iCs/>
          <w:sz w:val="22"/>
          <w:szCs w:val="22"/>
        </w:rPr>
        <w:t>Aircraft transparency</w:t>
      </w:r>
      <w:r w:rsidRPr="00EB486E">
        <w:rPr>
          <w:sz w:val="22"/>
          <w:szCs w:val="22"/>
        </w:rPr>
        <w:t xml:space="preserve"> means the aircraft windshield, canopy, passenger windows, lenses, and other components which are constructed of transparent materials.</w:t>
      </w:r>
    </w:p>
    <w:p w:rsidR="00EB486E" w:rsidRPr="00EB486E" w:rsidRDefault="00EB486E" w:rsidP="00EB486E">
      <w:pPr>
        <w:pStyle w:val="NormalWeb"/>
        <w:rPr>
          <w:sz w:val="22"/>
          <w:szCs w:val="22"/>
        </w:rPr>
      </w:pPr>
      <w:r w:rsidRPr="00EB486E">
        <w:rPr>
          <w:i/>
          <w:iCs/>
          <w:sz w:val="22"/>
          <w:szCs w:val="22"/>
        </w:rPr>
        <w:t>Airless and air-assisted airless spray</w:t>
      </w:r>
      <w:r w:rsidRPr="00EB486E">
        <w:rPr>
          <w:sz w:val="22"/>
          <w:szCs w:val="22"/>
        </w:rPr>
        <w:t xml:space="preserve"> mean any coating spray application technology that relies solely on the fluid pressure of the coating to create an atomized coating spray pattern and does not apply any atomizing compressed air to the coating before it leaves the spray gun nozzle. Air-assisted airless spray uses compressed air to shape and distribute the fan of atomized coating, but still uses fluid pressure to create the atomized coating.</w:t>
      </w:r>
    </w:p>
    <w:p w:rsidR="00EB486E" w:rsidRPr="00EB486E" w:rsidRDefault="00EB486E" w:rsidP="00EB486E">
      <w:pPr>
        <w:pStyle w:val="NormalWeb"/>
        <w:rPr>
          <w:sz w:val="22"/>
          <w:szCs w:val="22"/>
        </w:rPr>
      </w:pPr>
      <w:r w:rsidRPr="00EB486E">
        <w:rPr>
          <w:i/>
          <w:iCs/>
          <w:sz w:val="22"/>
          <w:szCs w:val="22"/>
        </w:rPr>
        <w:t>Antique aerospace vehicle or component</w:t>
      </w:r>
      <w:r w:rsidRPr="00EB486E">
        <w:rPr>
          <w:sz w:val="22"/>
          <w:szCs w:val="22"/>
        </w:rPr>
        <w:t xml:space="preserve"> means an aircraft or component thereof that was built at least 30 years ago. An antique aerospace vehicle would not routinely be in commercial or military service in the capacity for which it was designed.</w:t>
      </w:r>
    </w:p>
    <w:p w:rsidR="00EB486E" w:rsidRPr="00EB486E" w:rsidRDefault="00EB486E" w:rsidP="00EB486E">
      <w:pPr>
        <w:pStyle w:val="NormalWeb"/>
        <w:rPr>
          <w:sz w:val="22"/>
          <w:szCs w:val="22"/>
        </w:rPr>
      </w:pPr>
      <w:r w:rsidRPr="00EB486E">
        <w:rPr>
          <w:i/>
          <w:iCs/>
          <w:sz w:val="22"/>
          <w:szCs w:val="22"/>
        </w:rPr>
        <w:t>Carbon adsorber</w:t>
      </w:r>
      <w:r w:rsidRPr="00EB486E">
        <w:rPr>
          <w:sz w:val="22"/>
          <w:szCs w:val="22"/>
        </w:rPr>
        <w:t xml:space="preserve"> means one vessel in a series of vessels in a carbon adsorption system that contains carbon and is used to remove gaseous pollutants from a gaseous emission source. </w:t>
      </w:r>
    </w:p>
    <w:p w:rsidR="00EB486E" w:rsidRPr="00EB486E" w:rsidRDefault="00EB486E" w:rsidP="00EB486E">
      <w:pPr>
        <w:pStyle w:val="NormalWeb"/>
        <w:rPr>
          <w:sz w:val="22"/>
          <w:szCs w:val="22"/>
        </w:rPr>
      </w:pPr>
      <w:r w:rsidRPr="00EB486E">
        <w:rPr>
          <w:i/>
          <w:iCs/>
          <w:sz w:val="22"/>
          <w:szCs w:val="22"/>
        </w:rPr>
        <w:t>Carbon Adsorber control efficiency</w:t>
      </w:r>
      <w:r w:rsidRPr="00EB486E">
        <w:rPr>
          <w:sz w:val="22"/>
          <w:szCs w:val="22"/>
        </w:rPr>
        <w:t xml:space="preserve"> means the total efficiency of the control system, determined by the product of the capture efficiency and the control device efficiency. </w:t>
      </w:r>
    </w:p>
    <w:p w:rsidR="00EB486E" w:rsidRPr="00EB486E" w:rsidRDefault="00EB486E" w:rsidP="00EB486E">
      <w:pPr>
        <w:pStyle w:val="NormalWeb"/>
        <w:rPr>
          <w:sz w:val="22"/>
          <w:szCs w:val="22"/>
        </w:rPr>
      </w:pPr>
      <w:r w:rsidRPr="00EB486E">
        <w:rPr>
          <w:i/>
          <w:iCs/>
          <w:sz w:val="22"/>
          <w:szCs w:val="22"/>
        </w:rPr>
        <w:t>Chemical milling maskant</w:t>
      </w:r>
      <w:r w:rsidRPr="00EB486E">
        <w:rPr>
          <w:sz w:val="22"/>
          <w:szCs w:val="22"/>
        </w:rPr>
        <w:t xml:space="preserve"> means a coating that is applied directly to aluminum components to protect surface areas when chemical milling the component with a Type I or Type II etchant. Type I chemical milling maskants are used with a Type I etchant and Type II chemical milling maskants are used with a Type II etchant. This definition does not include bonding maskants, critical use and line sealer maskants, and seal coat maskants. Additionally, maskants that must be used with a combination of Type I or II etchants and any of the above types of maskants (</w:t>
      </w:r>
      <w:r w:rsidRPr="00EB486E">
        <w:rPr>
          <w:i/>
          <w:iCs/>
          <w:sz w:val="22"/>
          <w:szCs w:val="22"/>
        </w:rPr>
        <w:t>i.e.,</w:t>
      </w:r>
      <w:r w:rsidRPr="00EB486E">
        <w:rPr>
          <w:sz w:val="22"/>
          <w:szCs w:val="22"/>
        </w:rPr>
        <w:t xml:space="preserve"> bonding, critical use and line sealer, and seal coat) are also not included in this definition. (</w:t>
      </w:r>
      <w:r w:rsidRPr="00EB486E">
        <w:rPr>
          <w:i/>
          <w:iCs/>
          <w:sz w:val="22"/>
          <w:szCs w:val="22"/>
        </w:rPr>
        <w:t>See</w:t>
      </w:r>
      <w:r w:rsidRPr="00EB486E">
        <w:rPr>
          <w:sz w:val="22"/>
          <w:szCs w:val="22"/>
        </w:rPr>
        <w:t xml:space="preserve"> also Type I and Type II etchant definitions.)</w:t>
      </w:r>
    </w:p>
    <w:p w:rsidR="00EB486E" w:rsidRPr="00EB486E" w:rsidRDefault="00EB486E" w:rsidP="00EB486E">
      <w:pPr>
        <w:pStyle w:val="NormalWeb"/>
        <w:rPr>
          <w:sz w:val="22"/>
          <w:szCs w:val="22"/>
        </w:rPr>
      </w:pPr>
      <w:r w:rsidRPr="00EB486E">
        <w:rPr>
          <w:i/>
          <w:iCs/>
          <w:sz w:val="22"/>
          <w:szCs w:val="22"/>
        </w:rPr>
        <w:t>Chemical milling maskant application operation</w:t>
      </w:r>
      <w:r w:rsidRPr="00EB486E">
        <w:rPr>
          <w:sz w:val="22"/>
          <w:szCs w:val="22"/>
        </w:rPr>
        <w:t xml:space="preserve"> means application of chemical milling maskant for use with Type I or Type II chemical milling etchants.</w:t>
      </w:r>
    </w:p>
    <w:p w:rsidR="00EB486E" w:rsidRPr="00EB486E" w:rsidRDefault="00EB486E" w:rsidP="00EB486E">
      <w:pPr>
        <w:pStyle w:val="NormalWeb"/>
        <w:rPr>
          <w:sz w:val="22"/>
          <w:szCs w:val="22"/>
        </w:rPr>
      </w:pPr>
      <w:r w:rsidRPr="00EB486E">
        <w:rPr>
          <w:i/>
          <w:iCs/>
          <w:sz w:val="22"/>
          <w:szCs w:val="22"/>
        </w:rPr>
        <w:t>Classified National Security Information</w:t>
      </w:r>
      <w:r w:rsidRPr="00EB486E">
        <w:rPr>
          <w:sz w:val="22"/>
          <w:szCs w:val="22"/>
        </w:rPr>
        <w:t xml:space="preserve"> means information that has been determined pursuant to Executive Order 13526, “Classified National Security Information,” December 29, 2009 or any successor order to require protection against unauthorized disclosure and is marked to indicate its classified status when in documentary form. The term “Classified Information” is an alternative term that may be used instead of “Classified National Security Information.”</w:t>
      </w:r>
    </w:p>
    <w:p w:rsidR="00EB486E" w:rsidRPr="00EB486E" w:rsidRDefault="00EB486E" w:rsidP="00EB486E">
      <w:pPr>
        <w:pStyle w:val="NormalWeb"/>
        <w:rPr>
          <w:sz w:val="22"/>
          <w:szCs w:val="22"/>
        </w:rPr>
      </w:pPr>
      <w:r w:rsidRPr="00EB486E">
        <w:rPr>
          <w:i/>
          <w:iCs/>
          <w:sz w:val="22"/>
          <w:szCs w:val="22"/>
        </w:rPr>
        <w:t>Cleaning operation</w:t>
      </w:r>
      <w:r w:rsidRPr="00EB486E">
        <w:rPr>
          <w:sz w:val="22"/>
          <w:szCs w:val="22"/>
        </w:rPr>
        <w:t xml:space="preserve"> means collectively spray gun, hand-wipe, and flush cleaning operations. </w:t>
      </w:r>
    </w:p>
    <w:p w:rsidR="00EB486E" w:rsidRPr="00EB486E" w:rsidRDefault="00EB486E" w:rsidP="00EB486E">
      <w:pPr>
        <w:pStyle w:val="NormalWeb"/>
        <w:rPr>
          <w:sz w:val="22"/>
          <w:szCs w:val="22"/>
        </w:rPr>
      </w:pPr>
      <w:r w:rsidRPr="00EB486E">
        <w:rPr>
          <w:i/>
          <w:iCs/>
          <w:sz w:val="22"/>
          <w:szCs w:val="22"/>
        </w:rPr>
        <w:t>Cleaning solvent</w:t>
      </w:r>
      <w:r w:rsidRPr="00EB486E">
        <w:rPr>
          <w:sz w:val="22"/>
          <w:szCs w:val="22"/>
        </w:rPr>
        <w:t xml:space="preserve"> means a liquid material used for hand-wipe, spray gun, or flush cleaning. This definition does not include solutions that contain HAP and VOC below the de minimis levels specified in §63.741(f).</w:t>
      </w:r>
    </w:p>
    <w:p w:rsidR="00EB486E" w:rsidRPr="00EB486E" w:rsidRDefault="00EB486E" w:rsidP="00EB486E">
      <w:pPr>
        <w:pStyle w:val="NormalWeb"/>
        <w:rPr>
          <w:sz w:val="22"/>
          <w:szCs w:val="22"/>
        </w:rPr>
      </w:pPr>
      <w:r w:rsidRPr="00EB486E">
        <w:rPr>
          <w:i/>
          <w:iCs/>
          <w:sz w:val="22"/>
          <w:szCs w:val="22"/>
        </w:rPr>
        <w:t>Closed-cycle depainting system</w:t>
      </w:r>
      <w:r w:rsidRPr="00EB486E">
        <w:rPr>
          <w:sz w:val="22"/>
          <w:szCs w:val="22"/>
        </w:rPr>
        <w:t xml:space="preserve"> means a dust-free, automated process that removes permanent coating in small sections at a time and maintains a continuous vacuum around the area(s) being depainted to capture emissions.</w:t>
      </w:r>
    </w:p>
    <w:p w:rsidR="00EB486E" w:rsidRPr="00EB486E" w:rsidRDefault="00EB486E" w:rsidP="00EB486E">
      <w:pPr>
        <w:pStyle w:val="NormalWeb"/>
        <w:rPr>
          <w:sz w:val="22"/>
          <w:szCs w:val="22"/>
        </w:rPr>
      </w:pPr>
      <w:r w:rsidRPr="00EB486E">
        <w:rPr>
          <w:i/>
          <w:iCs/>
          <w:sz w:val="22"/>
          <w:szCs w:val="22"/>
        </w:rPr>
        <w:t>Coating</w:t>
      </w:r>
      <w:r w:rsidRPr="00EB486E">
        <w:rPr>
          <w:sz w:val="22"/>
          <w:szCs w:val="22"/>
        </w:rPr>
        <w:t xml:space="preserve"> means a material that is applied to a substrate for decorative, protective, or functional purposes. Such materials include, but are not limited to, paints, sealants, liquid plastic coatings, caulks, inks, adhesives, and </w:t>
      </w:r>
      <w:r w:rsidRPr="00EB486E">
        <w:rPr>
          <w:sz w:val="22"/>
          <w:szCs w:val="22"/>
        </w:rPr>
        <w:lastRenderedPageBreak/>
        <w:t>maskants. Decorative, protective, or functional materials that consist only of protective oils for metal, acids, bases, or any combination of these substances; paper film or plastic film which may be pre-coated with an adhesive by the film manufacturer; or pre-impregnated composite sheets are not considered coatings for the purposes of this subpart. Materials in handheld non-refillable aerosol containers, touch-up markers, and marking pens are also not considered coatings for the purposes of this subpart. A liquid plastic coating means a coating made from fine particle-size polyvinyl chloride (PVC) in solution (also referred to as a plastisol).</w:t>
      </w:r>
    </w:p>
    <w:p w:rsidR="00EB486E" w:rsidRPr="00EB486E" w:rsidRDefault="00EB486E" w:rsidP="00EB486E">
      <w:pPr>
        <w:pStyle w:val="NormalWeb"/>
        <w:rPr>
          <w:sz w:val="22"/>
          <w:szCs w:val="22"/>
        </w:rPr>
      </w:pPr>
      <w:r w:rsidRPr="00EB486E">
        <w:rPr>
          <w:i/>
          <w:iCs/>
          <w:sz w:val="22"/>
          <w:szCs w:val="22"/>
        </w:rPr>
        <w:t>Coating operation</w:t>
      </w:r>
      <w:r w:rsidRPr="00EB486E">
        <w:rPr>
          <w:sz w:val="22"/>
          <w:szCs w:val="22"/>
        </w:rPr>
        <w:t xml:space="preserve"> means the use of a spray booth, tank, or other enclosure or any area, such as a hangar, for the application of a single type of coating (e.g., primer); the use of the same spray booth for the application of another type of coating (e.g., topcoat) constitutes a separate coating operation for which compliance determinations are performed separately. </w:t>
      </w:r>
    </w:p>
    <w:p w:rsidR="00EB486E" w:rsidRPr="00EB486E" w:rsidRDefault="00EB486E" w:rsidP="00EB486E">
      <w:pPr>
        <w:pStyle w:val="NormalWeb"/>
        <w:rPr>
          <w:sz w:val="22"/>
          <w:szCs w:val="22"/>
        </w:rPr>
      </w:pPr>
      <w:r w:rsidRPr="00EB486E">
        <w:rPr>
          <w:i/>
          <w:iCs/>
          <w:sz w:val="22"/>
          <w:szCs w:val="22"/>
        </w:rPr>
        <w:t>Coating unit</w:t>
      </w:r>
      <w:r w:rsidRPr="00EB486E">
        <w:rPr>
          <w:sz w:val="22"/>
          <w:szCs w:val="22"/>
        </w:rPr>
        <w:t xml:space="preserve"> means a series of one or more coating applicators and any associated drying area and/or oven wherein a coating is applied, dried, and/or cured. A coating unit ends at the point where the coating is dried or cured, or prior to any subsequent application of a different coating. It is not necessary to have an oven or flashoff area </w:t>
      </w:r>
      <w:proofErr w:type="gramStart"/>
      <w:r w:rsidRPr="00EB486E">
        <w:rPr>
          <w:sz w:val="22"/>
          <w:szCs w:val="22"/>
        </w:rPr>
        <w:t>in order to</w:t>
      </w:r>
      <w:proofErr w:type="gramEnd"/>
      <w:r w:rsidRPr="00EB486E">
        <w:rPr>
          <w:sz w:val="22"/>
          <w:szCs w:val="22"/>
        </w:rPr>
        <w:t xml:space="preserve"> be included in this definition. </w:t>
      </w:r>
    </w:p>
    <w:p w:rsidR="00EB486E" w:rsidRPr="00EB486E" w:rsidRDefault="00EB486E" w:rsidP="00EB486E">
      <w:pPr>
        <w:pStyle w:val="NormalWeb"/>
        <w:rPr>
          <w:sz w:val="22"/>
          <w:szCs w:val="22"/>
        </w:rPr>
      </w:pPr>
      <w:r w:rsidRPr="00EB486E">
        <w:rPr>
          <w:i/>
          <w:iCs/>
          <w:sz w:val="22"/>
          <w:szCs w:val="22"/>
        </w:rPr>
        <w:t>Confined space</w:t>
      </w:r>
      <w:r w:rsidRPr="00EB486E">
        <w:rPr>
          <w:sz w:val="22"/>
          <w:szCs w:val="22"/>
        </w:rPr>
        <w:t xml:space="preserve"> means a space that: (1) Is large enough and so configured that an employee can bodily enter and perform assigned work; (2) has limited or restricted means for entry or exit (for example, fuel tanks, fuel vessels, and other spaces that have limited means of entry); and (3) is not suitable for continuous employee occupancy. </w:t>
      </w:r>
    </w:p>
    <w:p w:rsidR="00EB486E" w:rsidRPr="00EB486E" w:rsidRDefault="00EB486E" w:rsidP="00EB486E">
      <w:pPr>
        <w:pStyle w:val="NormalWeb"/>
        <w:rPr>
          <w:sz w:val="22"/>
          <w:szCs w:val="22"/>
        </w:rPr>
      </w:pPr>
      <w:r w:rsidRPr="00EB486E">
        <w:rPr>
          <w:i/>
          <w:iCs/>
          <w:sz w:val="22"/>
          <w:szCs w:val="22"/>
        </w:rPr>
        <w:t>Control device</w:t>
      </w:r>
      <w:r w:rsidRPr="00EB486E">
        <w:rPr>
          <w:sz w:val="22"/>
          <w:szCs w:val="22"/>
        </w:rPr>
        <w:t xml:space="preserve"> means destruction and/or recovery equipment used to destroy or recover HAP or VOC emissions generated by a regulated operation. </w:t>
      </w:r>
    </w:p>
    <w:p w:rsidR="00EB486E" w:rsidRPr="00EB486E" w:rsidRDefault="00EB486E" w:rsidP="00EB486E">
      <w:pPr>
        <w:pStyle w:val="NormalWeb"/>
        <w:rPr>
          <w:sz w:val="22"/>
          <w:szCs w:val="22"/>
        </w:rPr>
      </w:pPr>
      <w:r w:rsidRPr="00EB486E">
        <w:rPr>
          <w:i/>
          <w:iCs/>
          <w:sz w:val="22"/>
          <w:szCs w:val="22"/>
        </w:rPr>
        <w:t>Control system</w:t>
      </w:r>
      <w:r w:rsidRPr="00EB486E">
        <w:rPr>
          <w:sz w:val="22"/>
          <w:szCs w:val="22"/>
        </w:rPr>
        <w:t xml:space="preserve"> means a combination of pollutant capture system(s) and control device(s) used to reduce discharge to the atmosphere of HAP or VOC emissions generated by a regulated operation. </w:t>
      </w:r>
    </w:p>
    <w:p w:rsidR="00EB486E" w:rsidRPr="00EB486E" w:rsidRDefault="00EB486E" w:rsidP="00EB486E">
      <w:pPr>
        <w:pStyle w:val="NormalWeb"/>
        <w:rPr>
          <w:sz w:val="22"/>
          <w:szCs w:val="22"/>
        </w:rPr>
      </w:pPr>
      <w:r w:rsidRPr="00EB486E">
        <w:rPr>
          <w:i/>
          <w:iCs/>
          <w:sz w:val="22"/>
          <w:szCs w:val="22"/>
        </w:rPr>
        <w:t>Depainting</w:t>
      </w:r>
      <w:r w:rsidRPr="00EB486E">
        <w:rPr>
          <w:sz w:val="22"/>
          <w:szCs w:val="22"/>
        </w:rPr>
        <w:t xml:space="preserve"> means the removal of a permanent coating from the outer surface of an aerospace vehicle or component, whether by chemical or non-chemical means. For non-chemical means, this definition excludes hand and mechanical sanding, and any other non-chemical removal processes that do not involve blast media or other mechanisms that would result in airborne particle movement at high velocity. </w:t>
      </w:r>
    </w:p>
    <w:p w:rsidR="00EB486E" w:rsidRPr="00EB486E" w:rsidRDefault="00EB486E" w:rsidP="00EB486E">
      <w:pPr>
        <w:pStyle w:val="NormalWeb"/>
        <w:rPr>
          <w:sz w:val="22"/>
          <w:szCs w:val="22"/>
        </w:rPr>
      </w:pPr>
      <w:r w:rsidRPr="00EB486E">
        <w:rPr>
          <w:i/>
          <w:iCs/>
          <w:sz w:val="22"/>
          <w:szCs w:val="22"/>
        </w:rPr>
        <w:t>Depainting operation</w:t>
      </w:r>
      <w:r w:rsidRPr="00EB486E">
        <w:rPr>
          <w:sz w:val="22"/>
          <w:szCs w:val="22"/>
        </w:rPr>
        <w:t xml:space="preserve"> means the use of a chemical agent, media blasting, or any other technique to remove permanent coatings from the outer surface of an aerospace vehicle or components. The depainting operation includes washing of the aerospace vehicle or component to remove residual stripper, media, or coating residue. </w:t>
      </w:r>
    </w:p>
    <w:p w:rsidR="00EB486E" w:rsidRPr="00EB486E" w:rsidRDefault="00EB486E" w:rsidP="00EB486E">
      <w:pPr>
        <w:pStyle w:val="NormalWeb"/>
        <w:rPr>
          <w:sz w:val="22"/>
          <w:szCs w:val="22"/>
        </w:rPr>
      </w:pPr>
      <w:r w:rsidRPr="00EB486E">
        <w:rPr>
          <w:i/>
          <w:iCs/>
          <w:sz w:val="22"/>
          <w:szCs w:val="22"/>
        </w:rPr>
        <w:t>Electrodeposition of paint</w:t>
      </w:r>
      <w:r w:rsidRPr="00EB486E">
        <w:rPr>
          <w:sz w:val="22"/>
          <w:szCs w:val="22"/>
        </w:rPr>
        <w:t xml:space="preserve"> means the application of a coating using a water-based electrochemical bath process. The component being coated is immersed in a bath of the coating. An electric potential is applied between the component and an oppositely charged electrode hanging in the bath. The electric potential causes the ionized coating to be electrically attracted, migrated, and deposited on the component being coated. </w:t>
      </w:r>
    </w:p>
    <w:p w:rsidR="00EB486E" w:rsidRPr="00EB486E" w:rsidRDefault="00EB486E" w:rsidP="00EB486E">
      <w:pPr>
        <w:pStyle w:val="NormalWeb"/>
        <w:rPr>
          <w:sz w:val="22"/>
          <w:szCs w:val="22"/>
        </w:rPr>
      </w:pPr>
      <w:r w:rsidRPr="00EB486E">
        <w:rPr>
          <w:i/>
          <w:iCs/>
          <w:sz w:val="22"/>
          <w:szCs w:val="22"/>
        </w:rPr>
        <w:t>Electrostatic spray</w:t>
      </w:r>
      <w:r w:rsidRPr="00EB486E">
        <w:rPr>
          <w:sz w:val="22"/>
          <w:szCs w:val="22"/>
        </w:rPr>
        <w:t xml:space="preserve"> means a method of applying a spray coating in which an electrical charge is applied to the coating and the substrate is grounded. The coating is attracted to the substrate by the electrostatic potential between them. </w:t>
      </w:r>
    </w:p>
    <w:p w:rsidR="00EB486E" w:rsidRPr="00EB486E" w:rsidRDefault="00EB486E" w:rsidP="00EB486E">
      <w:pPr>
        <w:pStyle w:val="NormalWeb"/>
        <w:rPr>
          <w:sz w:val="22"/>
          <w:szCs w:val="22"/>
        </w:rPr>
      </w:pPr>
      <w:r w:rsidRPr="00EB486E">
        <w:rPr>
          <w:i/>
          <w:iCs/>
          <w:sz w:val="22"/>
          <w:szCs w:val="22"/>
        </w:rPr>
        <w:t>Exempt solvent</w:t>
      </w:r>
      <w:r w:rsidRPr="00EB486E">
        <w:rPr>
          <w:sz w:val="22"/>
          <w:szCs w:val="22"/>
        </w:rPr>
        <w:t xml:space="preserve"> means specified organic compounds that have been determined by the EPA to have negligible photochemical reactivity and are listed in 40 CFR 51.100. </w:t>
      </w:r>
    </w:p>
    <w:p w:rsidR="00EB486E" w:rsidRPr="00EB486E" w:rsidRDefault="00EB486E" w:rsidP="00EB486E">
      <w:pPr>
        <w:pStyle w:val="NormalWeb"/>
        <w:rPr>
          <w:sz w:val="22"/>
          <w:szCs w:val="22"/>
        </w:rPr>
      </w:pPr>
      <w:r w:rsidRPr="00EB486E">
        <w:rPr>
          <w:i/>
          <w:iCs/>
          <w:sz w:val="22"/>
          <w:szCs w:val="22"/>
        </w:rPr>
        <w:lastRenderedPageBreak/>
        <w:t>Exterior primer</w:t>
      </w:r>
      <w:r w:rsidRPr="00EB486E">
        <w:rPr>
          <w:sz w:val="22"/>
          <w:szCs w:val="22"/>
        </w:rPr>
        <w:t xml:space="preserve"> means the first layer and any subsequent layers of identically formulated coating applied to the exterior surface of an aerospace vehicle or component where the component is used on the exterior of the aerospace vehicle. Exterior primers are typically used for corrosion prevention, protection from the environment, functional fluid resistance, and adhesion of subsequent exterior topcoats. Coatings that are defined as specialty coatings are not included under this definition.</w:t>
      </w:r>
    </w:p>
    <w:p w:rsidR="00EB486E" w:rsidRPr="00EB486E" w:rsidRDefault="00EB486E" w:rsidP="00EB486E">
      <w:pPr>
        <w:pStyle w:val="NormalWeb"/>
        <w:rPr>
          <w:sz w:val="22"/>
          <w:szCs w:val="22"/>
        </w:rPr>
      </w:pPr>
      <w:r w:rsidRPr="00EB486E">
        <w:rPr>
          <w:i/>
          <w:iCs/>
          <w:sz w:val="22"/>
          <w:szCs w:val="22"/>
        </w:rPr>
        <w:t>Flush cleaning</w:t>
      </w:r>
      <w:r w:rsidRPr="00EB486E">
        <w:rPr>
          <w:sz w:val="22"/>
          <w:szCs w:val="22"/>
        </w:rPr>
        <w:t xml:space="preserve"> means the removal of contaminants such as dirt, grease, oil, and coatings from an aerospace vehicle or component or coating equipment by passing solvent over, into, or through the item being cleaned. The solvent may simply be poured into the item being cleaned and then drained, or be assisted by air or hydraulic pressure, or by pumping. Hand-wipe cleaning operations where wiping, scrubbing, mopping, or other hand action are used are not included. </w:t>
      </w:r>
    </w:p>
    <w:p w:rsidR="00EB486E" w:rsidRPr="00EB486E" w:rsidRDefault="00EB486E" w:rsidP="00EB486E">
      <w:pPr>
        <w:pStyle w:val="NormalWeb"/>
        <w:rPr>
          <w:sz w:val="22"/>
          <w:szCs w:val="22"/>
        </w:rPr>
      </w:pPr>
      <w:r w:rsidRPr="00EB486E">
        <w:rPr>
          <w:i/>
          <w:iCs/>
          <w:sz w:val="22"/>
          <w:szCs w:val="22"/>
        </w:rPr>
        <w:t>General aviation (GA)</w:t>
      </w:r>
      <w:r w:rsidRPr="00EB486E">
        <w:rPr>
          <w:sz w:val="22"/>
          <w:szCs w:val="22"/>
        </w:rPr>
        <w:t xml:space="preserve"> means that segment of civil aviation that encompasses all facets of aviation except air carriers, commuters, and military. General aviation includes charter and corporate-executive transportation, instruction, rental, aerial application, aerial observation, business, pleasure, and other special uses.</w:t>
      </w:r>
    </w:p>
    <w:p w:rsidR="00EB486E" w:rsidRPr="00EB486E" w:rsidRDefault="00EB486E" w:rsidP="00EB486E">
      <w:pPr>
        <w:pStyle w:val="NormalWeb"/>
        <w:rPr>
          <w:sz w:val="22"/>
          <w:szCs w:val="22"/>
        </w:rPr>
      </w:pPr>
      <w:r w:rsidRPr="00EB486E">
        <w:rPr>
          <w:i/>
          <w:iCs/>
          <w:sz w:val="22"/>
          <w:szCs w:val="22"/>
        </w:rPr>
        <w:t>General aviation rework facility</w:t>
      </w:r>
      <w:r w:rsidRPr="00EB486E">
        <w:rPr>
          <w:sz w:val="22"/>
          <w:szCs w:val="22"/>
        </w:rPr>
        <w:t xml:space="preserve"> means any aerospace facility with </w:t>
      </w:r>
      <w:proofErr w:type="gramStart"/>
      <w:r w:rsidRPr="00EB486E">
        <w:rPr>
          <w:sz w:val="22"/>
          <w:szCs w:val="22"/>
        </w:rPr>
        <w:t>the majority of</w:t>
      </w:r>
      <w:proofErr w:type="gramEnd"/>
      <w:r w:rsidRPr="00EB486E">
        <w:rPr>
          <w:sz w:val="22"/>
          <w:szCs w:val="22"/>
        </w:rPr>
        <w:t xml:space="preserve"> its revenues resulting from the reconstruction, repair, maintenance, repainting, conversion, or alteration of general aviation aerospace vehicles or components.</w:t>
      </w:r>
    </w:p>
    <w:p w:rsidR="00EB486E" w:rsidRPr="00EB486E" w:rsidRDefault="00EB486E" w:rsidP="00EB486E">
      <w:pPr>
        <w:pStyle w:val="NormalWeb"/>
        <w:rPr>
          <w:sz w:val="22"/>
          <w:szCs w:val="22"/>
        </w:rPr>
      </w:pPr>
      <w:r w:rsidRPr="00EB486E">
        <w:rPr>
          <w:i/>
          <w:iCs/>
          <w:sz w:val="22"/>
          <w:szCs w:val="22"/>
        </w:rPr>
        <w:t>Hand-wipe cleaning operation</w:t>
      </w:r>
      <w:r w:rsidRPr="00EB486E">
        <w:rPr>
          <w:sz w:val="22"/>
          <w:szCs w:val="22"/>
        </w:rPr>
        <w:t xml:space="preserve"> means the removal of contaminants such as dirt, grease, oil, and coatings from an aerospace vehicle or component by physically rubbing it with a material such as a rag, paper, or cotton swab that has been moistened with a cleaning solvent. </w:t>
      </w:r>
    </w:p>
    <w:p w:rsidR="00EB486E" w:rsidRPr="00EB486E" w:rsidRDefault="00EB486E" w:rsidP="00EB486E">
      <w:pPr>
        <w:pStyle w:val="NormalWeb"/>
        <w:rPr>
          <w:sz w:val="22"/>
          <w:szCs w:val="22"/>
        </w:rPr>
      </w:pPr>
      <w:r w:rsidRPr="00EB486E">
        <w:rPr>
          <w:i/>
          <w:iCs/>
          <w:sz w:val="22"/>
          <w:szCs w:val="22"/>
        </w:rPr>
        <w:t>Hazardous air pollutant (HAP)</w:t>
      </w:r>
      <w:r w:rsidRPr="00EB486E">
        <w:rPr>
          <w:sz w:val="22"/>
          <w:szCs w:val="22"/>
        </w:rPr>
        <w:t xml:space="preserve"> means any air pollutant listed in or pursuant to section 112(b) of the Act. </w:t>
      </w:r>
    </w:p>
    <w:p w:rsidR="00EB486E" w:rsidRPr="00EB486E" w:rsidRDefault="00EB486E" w:rsidP="00EB486E">
      <w:pPr>
        <w:pStyle w:val="NormalWeb"/>
        <w:rPr>
          <w:sz w:val="22"/>
          <w:szCs w:val="22"/>
        </w:rPr>
      </w:pPr>
      <w:r w:rsidRPr="00EB486E">
        <w:rPr>
          <w:i/>
          <w:iCs/>
          <w:sz w:val="22"/>
          <w:szCs w:val="22"/>
        </w:rPr>
        <w:t>High efficiency particulate air (HEPA) filter</w:t>
      </w:r>
      <w:r w:rsidRPr="00EB486E">
        <w:rPr>
          <w:sz w:val="22"/>
          <w:szCs w:val="22"/>
        </w:rPr>
        <w:t xml:space="preserve"> means a filter that has a 99.97 percent reduction efficiency for </w:t>
      </w:r>
      <w:proofErr w:type="gramStart"/>
      <w:r w:rsidRPr="00EB486E">
        <w:rPr>
          <w:sz w:val="22"/>
          <w:szCs w:val="22"/>
        </w:rPr>
        <w:t>0.3 micron</w:t>
      </w:r>
      <w:proofErr w:type="gramEnd"/>
      <w:r w:rsidRPr="00EB486E">
        <w:rPr>
          <w:sz w:val="22"/>
          <w:szCs w:val="22"/>
        </w:rPr>
        <w:t xml:space="preserve"> aerosol. </w:t>
      </w:r>
    </w:p>
    <w:p w:rsidR="00EB486E" w:rsidRPr="00EB486E" w:rsidRDefault="00EB486E" w:rsidP="00EB486E">
      <w:pPr>
        <w:pStyle w:val="NormalWeb"/>
        <w:rPr>
          <w:sz w:val="22"/>
          <w:szCs w:val="22"/>
        </w:rPr>
      </w:pPr>
      <w:r w:rsidRPr="00EB486E">
        <w:rPr>
          <w:i/>
          <w:iCs/>
          <w:sz w:val="22"/>
          <w:szCs w:val="22"/>
        </w:rPr>
        <w:t>High volume low pressure (HVLP) spray equipment</w:t>
      </w:r>
      <w:r w:rsidRPr="00EB486E">
        <w:rPr>
          <w:sz w:val="22"/>
          <w:szCs w:val="22"/>
        </w:rPr>
        <w:t xml:space="preserve"> means spray equipment that is used to apply coating by means of a spray gun that operates at 10.0 psig of atomizing air pressure or less at the air cap.</w:t>
      </w:r>
    </w:p>
    <w:p w:rsidR="00EB486E" w:rsidRPr="00EB486E" w:rsidRDefault="00EB486E" w:rsidP="00EB486E">
      <w:pPr>
        <w:pStyle w:val="NormalWeb"/>
        <w:rPr>
          <w:sz w:val="22"/>
          <w:szCs w:val="22"/>
        </w:rPr>
      </w:pPr>
      <w:r w:rsidRPr="00EB486E">
        <w:rPr>
          <w:i/>
          <w:iCs/>
          <w:sz w:val="22"/>
          <w:szCs w:val="22"/>
        </w:rPr>
        <w:t>Inorganic hazardous air pollutant (HAP)</w:t>
      </w:r>
      <w:r w:rsidRPr="00EB486E">
        <w:rPr>
          <w:sz w:val="22"/>
          <w:szCs w:val="22"/>
        </w:rPr>
        <w:t xml:space="preserve"> means any HAP that is not organic. </w:t>
      </w:r>
    </w:p>
    <w:p w:rsidR="00EB486E" w:rsidRPr="00EB486E" w:rsidRDefault="00EB486E" w:rsidP="00EB486E">
      <w:pPr>
        <w:pStyle w:val="NormalWeb"/>
        <w:rPr>
          <w:sz w:val="22"/>
          <w:szCs w:val="22"/>
        </w:rPr>
      </w:pPr>
      <w:r w:rsidRPr="00EB486E">
        <w:rPr>
          <w:i/>
          <w:iCs/>
          <w:sz w:val="22"/>
          <w:szCs w:val="22"/>
        </w:rPr>
        <w:t>Large commercial aircraft</w:t>
      </w:r>
      <w:r w:rsidRPr="00EB486E">
        <w:rPr>
          <w:sz w:val="22"/>
          <w:szCs w:val="22"/>
        </w:rPr>
        <w:t xml:space="preserve"> means an aircraft of more than 110,000 pounds, maximum certified take-off weight manufactured for non-military use.</w:t>
      </w:r>
    </w:p>
    <w:p w:rsidR="00EB486E" w:rsidRPr="00EB486E" w:rsidRDefault="00EB486E" w:rsidP="00EB486E">
      <w:pPr>
        <w:pStyle w:val="NormalWeb"/>
        <w:rPr>
          <w:sz w:val="22"/>
          <w:szCs w:val="22"/>
        </w:rPr>
      </w:pPr>
      <w:r w:rsidRPr="00EB486E">
        <w:rPr>
          <w:i/>
          <w:iCs/>
          <w:sz w:val="22"/>
          <w:szCs w:val="22"/>
        </w:rPr>
        <w:t>Leak</w:t>
      </w:r>
      <w:r w:rsidRPr="00EB486E">
        <w:rPr>
          <w:sz w:val="22"/>
          <w:szCs w:val="22"/>
        </w:rPr>
        <w:t xml:space="preserve"> means any visible leakage, including misting and clouding. </w:t>
      </w:r>
    </w:p>
    <w:p w:rsidR="00EB486E" w:rsidRPr="00EB486E" w:rsidRDefault="00EB486E" w:rsidP="00EB486E">
      <w:pPr>
        <w:pStyle w:val="NormalWeb"/>
        <w:rPr>
          <w:sz w:val="22"/>
          <w:szCs w:val="22"/>
        </w:rPr>
      </w:pPr>
      <w:r w:rsidRPr="00EB486E">
        <w:rPr>
          <w:i/>
          <w:iCs/>
          <w:sz w:val="22"/>
          <w:szCs w:val="22"/>
        </w:rPr>
        <w:t>Limited access space</w:t>
      </w:r>
      <w:r w:rsidRPr="00EB486E">
        <w:rPr>
          <w:sz w:val="22"/>
          <w:szCs w:val="22"/>
        </w:rPr>
        <w:t xml:space="preserve"> means internal surfaces or passages of an aerospace vehicle or component that cannot be reached without the aid of an airbrush or a spray gun extension for the application of coatings. </w:t>
      </w:r>
    </w:p>
    <w:p w:rsidR="00EB486E" w:rsidRPr="00EB486E" w:rsidRDefault="00EB486E" w:rsidP="00EB486E">
      <w:pPr>
        <w:pStyle w:val="NormalWeb"/>
        <w:rPr>
          <w:sz w:val="22"/>
          <w:szCs w:val="22"/>
        </w:rPr>
      </w:pPr>
      <w:r w:rsidRPr="00EB486E">
        <w:rPr>
          <w:i/>
          <w:iCs/>
          <w:sz w:val="22"/>
          <w:szCs w:val="22"/>
        </w:rPr>
        <w:t>Mechanical sanding</w:t>
      </w:r>
      <w:r w:rsidRPr="00EB486E">
        <w:rPr>
          <w:sz w:val="22"/>
          <w:szCs w:val="22"/>
        </w:rPr>
        <w:t xml:space="preserve"> means aerospace vehicle or component surface conditioning which uses directional and random orbital abrasive tools and aluminum oxide or nylon abrasive pads </w:t>
      </w:r>
      <w:proofErr w:type="gramStart"/>
      <w:r w:rsidRPr="00EB486E">
        <w:rPr>
          <w:sz w:val="22"/>
          <w:szCs w:val="22"/>
        </w:rPr>
        <w:t>for the purpose of</w:t>
      </w:r>
      <w:proofErr w:type="gramEnd"/>
      <w:r w:rsidRPr="00EB486E">
        <w:rPr>
          <w:sz w:val="22"/>
          <w:szCs w:val="22"/>
        </w:rPr>
        <w:t xml:space="preserve"> corrosion rework, substrate repair, prepaint surface preparation, and other maintenance activities. </w:t>
      </w:r>
    </w:p>
    <w:p w:rsidR="00EB486E" w:rsidRPr="00EB486E" w:rsidRDefault="00EB486E" w:rsidP="00EB486E">
      <w:pPr>
        <w:pStyle w:val="NormalWeb"/>
        <w:rPr>
          <w:sz w:val="22"/>
          <w:szCs w:val="22"/>
        </w:rPr>
      </w:pPr>
      <w:r w:rsidRPr="00EB486E">
        <w:rPr>
          <w:i/>
          <w:iCs/>
          <w:sz w:val="22"/>
          <w:szCs w:val="22"/>
        </w:rPr>
        <w:t>Natural draft opening</w:t>
      </w:r>
      <w:r w:rsidRPr="00EB486E">
        <w:rPr>
          <w:sz w:val="22"/>
          <w:szCs w:val="22"/>
        </w:rPr>
        <w:t xml:space="preserve"> means any opening in a room, building, or total enclosure that remains open during operation of the facility and that is not connected to a duct in which a fan is installed. The rate and direction of the </w:t>
      </w:r>
      <w:r w:rsidRPr="00EB486E">
        <w:rPr>
          <w:sz w:val="22"/>
          <w:szCs w:val="22"/>
        </w:rPr>
        <w:lastRenderedPageBreak/>
        <w:t xml:space="preserve">natural draft through such an opening is a consequence of the difference in pressures on either side of the wall containing the opening. </w:t>
      </w:r>
    </w:p>
    <w:p w:rsidR="00EB486E" w:rsidRPr="00EB486E" w:rsidRDefault="00EB486E" w:rsidP="00EB486E">
      <w:pPr>
        <w:pStyle w:val="NormalWeb"/>
        <w:rPr>
          <w:sz w:val="22"/>
          <w:szCs w:val="22"/>
        </w:rPr>
      </w:pPr>
      <w:r w:rsidRPr="00EB486E">
        <w:rPr>
          <w:i/>
          <w:iCs/>
          <w:sz w:val="22"/>
          <w:szCs w:val="22"/>
        </w:rPr>
        <w:t>Non-chemical based depainting equipment</w:t>
      </w:r>
      <w:r w:rsidRPr="00EB486E">
        <w:rPr>
          <w:sz w:val="22"/>
          <w:szCs w:val="22"/>
        </w:rPr>
        <w:t xml:space="preserve"> means any depainting equipment or technique, including, but not limited to, media blasting equipment, that can depaint an aerospace vehicle or component in the absence of a chemical stripper. This definition does not include mechanical sanding or hand sanding. </w:t>
      </w:r>
    </w:p>
    <w:p w:rsidR="00EB486E" w:rsidRPr="00EB486E" w:rsidRDefault="00EB486E" w:rsidP="00EB486E">
      <w:pPr>
        <w:pStyle w:val="NormalWeb"/>
        <w:rPr>
          <w:sz w:val="22"/>
          <w:szCs w:val="22"/>
        </w:rPr>
      </w:pPr>
      <w:bookmarkStart w:id="29" w:name="_Hlk483549940"/>
      <w:r w:rsidRPr="00EB486E">
        <w:rPr>
          <w:i/>
          <w:iCs/>
          <w:sz w:val="22"/>
          <w:szCs w:val="22"/>
        </w:rPr>
        <w:t>Non-HAP material</w:t>
      </w:r>
      <w:r w:rsidRPr="00EB486E">
        <w:rPr>
          <w:sz w:val="22"/>
          <w:szCs w:val="22"/>
        </w:rPr>
        <w:t xml:space="preserve"> means, for the purposes of this subpart, a primer, topcoat, specialty coating, chemical milling maskant, cleaning solvent, or stripper that contains no more than 0.1 percent by mass of any individual organic HAP that is an Occupational Safety and Health Administration-defined carcinogen as specified in 29 CFR 1910.1200(d)(4) and no more than 1.0 percent by mass for any other individual HAP.</w:t>
      </w:r>
    </w:p>
    <w:bookmarkEnd w:id="29"/>
    <w:p w:rsidR="00EB486E" w:rsidRPr="00EB486E" w:rsidRDefault="00EB486E" w:rsidP="00EB486E">
      <w:pPr>
        <w:pStyle w:val="NormalWeb"/>
        <w:rPr>
          <w:sz w:val="22"/>
          <w:szCs w:val="22"/>
        </w:rPr>
      </w:pPr>
      <w:r w:rsidRPr="00EB486E">
        <w:rPr>
          <w:i/>
          <w:iCs/>
          <w:sz w:val="22"/>
          <w:szCs w:val="22"/>
        </w:rPr>
        <w:t>Nonregenerative carbon adsorber</w:t>
      </w:r>
      <w:r w:rsidRPr="00EB486E">
        <w:rPr>
          <w:sz w:val="22"/>
          <w:szCs w:val="22"/>
        </w:rPr>
        <w:t xml:space="preserve"> means a carbon adsorber vessel in which the spent carbon bed does not undergo carbon regeneration in the adsorption vessel. </w:t>
      </w:r>
    </w:p>
    <w:p w:rsidR="00EB486E" w:rsidRPr="00EB486E" w:rsidRDefault="00EB486E" w:rsidP="00EB486E">
      <w:pPr>
        <w:pStyle w:val="NormalWeb"/>
        <w:rPr>
          <w:sz w:val="22"/>
          <w:szCs w:val="22"/>
        </w:rPr>
      </w:pPr>
      <w:r w:rsidRPr="00EB486E">
        <w:rPr>
          <w:i/>
          <w:iCs/>
          <w:sz w:val="22"/>
          <w:szCs w:val="22"/>
        </w:rPr>
        <w:t>Operating parameter value</w:t>
      </w:r>
      <w:r w:rsidRPr="00EB486E">
        <w:rPr>
          <w:sz w:val="22"/>
          <w:szCs w:val="22"/>
        </w:rPr>
        <w:t xml:space="preserve"> means a minimum or maximum value established for a control device or process parameter which, if achieved by itself or in combination with one or more other operating parameter values, determines that an owner or operator has complied with an applicable emission limitation. </w:t>
      </w:r>
    </w:p>
    <w:p w:rsidR="00EB486E" w:rsidRPr="00EB486E" w:rsidRDefault="00EB486E" w:rsidP="00EB486E">
      <w:pPr>
        <w:pStyle w:val="NormalWeb"/>
        <w:rPr>
          <w:sz w:val="22"/>
          <w:szCs w:val="22"/>
        </w:rPr>
      </w:pPr>
      <w:r w:rsidRPr="00EB486E">
        <w:rPr>
          <w:i/>
          <w:iCs/>
          <w:sz w:val="22"/>
          <w:szCs w:val="22"/>
        </w:rPr>
        <w:t>Organic hazardous air pollutant (HAP)</w:t>
      </w:r>
      <w:r w:rsidRPr="00EB486E">
        <w:rPr>
          <w:sz w:val="22"/>
          <w:szCs w:val="22"/>
        </w:rPr>
        <w:t xml:space="preserve"> means any HAP that is organic. </w:t>
      </w:r>
    </w:p>
    <w:p w:rsidR="00EB486E" w:rsidRPr="00EB486E" w:rsidRDefault="00EB486E" w:rsidP="00EB486E">
      <w:pPr>
        <w:pStyle w:val="NormalWeb"/>
        <w:rPr>
          <w:sz w:val="22"/>
          <w:szCs w:val="22"/>
        </w:rPr>
      </w:pPr>
      <w:r w:rsidRPr="00EB486E">
        <w:rPr>
          <w:i/>
          <w:iCs/>
          <w:sz w:val="22"/>
          <w:szCs w:val="22"/>
        </w:rPr>
        <w:t>Primer</w:t>
      </w:r>
      <w:r w:rsidRPr="00EB486E">
        <w:rPr>
          <w:sz w:val="22"/>
          <w:szCs w:val="22"/>
        </w:rPr>
        <w:t xml:space="preserve"> means the first layer and any subsequent layers of identically formulated coating applied to the surface of an aerospace vehicle or component. Primers are typically used for corrosion prevention, protection from the environment, functional fluid resistance, and adhesion of subsequent coatings. Coatings that are defined as specialty coatings are not included under this definition. </w:t>
      </w:r>
    </w:p>
    <w:p w:rsidR="00EB486E" w:rsidRPr="00EB486E" w:rsidRDefault="00EB486E" w:rsidP="00EB486E">
      <w:pPr>
        <w:pStyle w:val="NormalWeb"/>
        <w:rPr>
          <w:sz w:val="22"/>
          <w:szCs w:val="22"/>
        </w:rPr>
      </w:pPr>
      <w:r w:rsidRPr="00EB486E">
        <w:rPr>
          <w:i/>
          <w:iCs/>
          <w:sz w:val="22"/>
          <w:szCs w:val="22"/>
        </w:rPr>
        <w:t>Radome</w:t>
      </w:r>
      <w:r w:rsidRPr="00EB486E">
        <w:rPr>
          <w:sz w:val="22"/>
          <w:szCs w:val="22"/>
        </w:rPr>
        <w:t xml:space="preserve"> means the non-metallic protective housing for electromagnetic transmitters and receivers (e.g., radar, electronic countermeasures, etc.). </w:t>
      </w:r>
    </w:p>
    <w:p w:rsidR="00EB486E" w:rsidRPr="00EB486E" w:rsidRDefault="00EB486E" w:rsidP="00EB486E">
      <w:pPr>
        <w:pStyle w:val="NormalWeb"/>
        <w:rPr>
          <w:sz w:val="22"/>
          <w:szCs w:val="22"/>
        </w:rPr>
      </w:pPr>
      <w:r w:rsidRPr="00EB486E">
        <w:rPr>
          <w:i/>
          <w:iCs/>
          <w:sz w:val="22"/>
          <w:szCs w:val="22"/>
        </w:rPr>
        <w:t>Recovery device</w:t>
      </w:r>
      <w:r w:rsidRPr="00EB486E">
        <w:rPr>
          <w:sz w:val="22"/>
          <w:szCs w:val="22"/>
        </w:rPr>
        <w:t xml:space="preserve"> means an individual unit of equipment capable of and normally used </w:t>
      </w:r>
      <w:proofErr w:type="gramStart"/>
      <w:r w:rsidRPr="00EB486E">
        <w:rPr>
          <w:sz w:val="22"/>
          <w:szCs w:val="22"/>
        </w:rPr>
        <w:t>for the purpose of</w:t>
      </w:r>
      <w:proofErr w:type="gramEnd"/>
      <w:r w:rsidRPr="00EB486E">
        <w:rPr>
          <w:sz w:val="22"/>
          <w:szCs w:val="22"/>
        </w:rPr>
        <w:t xml:space="preserve"> recovering chemicals for fuel value, use, or reuse. Examples of equipment that may be recovery devices include absorbers, carbon adsorbers, condensers, oil-water separators, or organic-water separators or organic removal devices such as decanters, strippers, or thin-film evaporation units.</w:t>
      </w:r>
    </w:p>
    <w:p w:rsidR="00EB486E" w:rsidRPr="00EB486E" w:rsidRDefault="00EB486E" w:rsidP="00EB486E">
      <w:pPr>
        <w:pStyle w:val="NormalWeb"/>
        <w:rPr>
          <w:sz w:val="22"/>
          <w:szCs w:val="22"/>
        </w:rPr>
      </w:pPr>
      <w:r w:rsidRPr="00EB486E">
        <w:rPr>
          <w:i/>
          <w:iCs/>
          <w:sz w:val="22"/>
          <w:szCs w:val="22"/>
        </w:rPr>
        <w:t>Research and Development</w:t>
      </w:r>
      <w:r w:rsidRPr="00EB486E">
        <w:rPr>
          <w:sz w:val="22"/>
          <w:szCs w:val="22"/>
        </w:rPr>
        <w:t xml:space="preserve"> means an operation whose primary purpose is for research and development of new processes and products, that is conducted under the close supervision of technically trained personnel, and is not involved in the manufacture of final or intermediate products for commerical purposes, except in a de mimnimis manner. </w:t>
      </w:r>
    </w:p>
    <w:p w:rsidR="00EB486E" w:rsidRPr="00EB486E" w:rsidRDefault="00EB486E" w:rsidP="00EB486E">
      <w:pPr>
        <w:pStyle w:val="NormalWeb"/>
        <w:rPr>
          <w:sz w:val="22"/>
          <w:szCs w:val="22"/>
        </w:rPr>
      </w:pPr>
      <w:r w:rsidRPr="00EB486E">
        <w:rPr>
          <w:i/>
          <w:iCs/>
          <w:sz w:val="22"/>
          <w:szCs w:val="22"/>
        </w:rPr>
        <w:t>Self-priming topcoat</w:t>
      </w:r>
      <w:r w:rsidRPr="00EB486E">
        <w:rPr>
          <w:sz w:val="22"/>
          <w:szCs w:val="22"/>
        </w:rPr>
        <w:t xml:space="preserve"> means a topcoat that is applied directly to an uncoated aerospace vehicle or component for purposes of corrosion prevention, environmental protection, and functional fluid resistance. More than one layer of identical coating formulation may be applied to the vehicle or component. </w:t>
      </w:r>
    </w:p>
    <w:p w:rsidR="00EB486E" w:rsidRPr="00EB486E" w:rsidRDefault="00EB486E" w:rsidP="00EB486E">
      <w:pPr>
        <w:pStyle w:val="NormalWeb"/>
        <w:rPr>
          <w:sz w:val="22"/>
          <w:szCs w:val="22"/>
        </w:rPr>
      </w:pPr>
      <w:r w:rsidRPr="00EB486E">
        <w:rPr>
          <w:i/>
          <w:iCs/>
          <w:sz w:val="22"/>
          <w:szCs w:val="22"/>
        </w:rPr>
        <w:t>Semi-aqueous cleaning solvent</w:t>
      </w:r>
      <w:r w:rsidRPr="00EB486E">
        <w:rPr>
          <w:sz w:val="22"/>
          <w:szCs w:val="22"/>
        </w:rPr>
        <w:t xml:space="preserve"> means a solution in which water is a primary ingredient (″ 60 percent of the solvent solution as applied must be water.) </w:t>
      </w:r>
    </w:p>
    <w:p w:rsidR="00EB486E" w:rsidRPr="00EB486E" w:rsidRDefault="00EB486E" w:rsidP="00EB486E">
      <w:pPr>
        <w:pStyle w:val="NormalWeb"/>
        <w:rPr>
          <w:sz w:val="22"/>
          <w:szCs w:val="22"/>
        </w:rPr>
      </w:pPr>
      <w:r w:rsidRPr="00EB486E">
        <w:rPr>
          <w:i/>
          <w:iCs/>
          <w:sz w:val="22"/>
          <w:szCs w:val="22"/>
        </w:rPr>
        <w:t>Softener</w:t>
      </w:r>
      <w:r w:rsidRPr="00EB486E">
        <w:rPr>
          <w:sz w:val="22"/>
          <w:szCs w:val="22"/>
        </w:rPr>
        <w:t xml:space="preserve"> means a liquid that is applied to an aerospace vehicle or component to degrade coatings such as primers, topcoats, and specialty coatings specifically as a preparatory step to subsequent depainting by non-</w:t>
      </w:r>
      <w:r w:rsidRPr="00EB486E">
        <w:rPr>
          <w:sz w:val="22"/>
          <w:szCs w:val="22"/>
        </w:rPr>
        <w:lastRenderedPageBreak/>
        <w:t>chemical based depainting equipment. Softeners may contain VOC but shall not contain any HAP as determined from MSDS's or manufacturer supplied information.</w:t>
      </w:r>
    </w:p>
    <w:p w:rsidR="00EB486E" w:rsidRPr="00EB486E" w:rsidRDefault="00EB486E" w:rsidP="00EB486E">
      <w:pPr>
        <w:pStyle w:val="NormalWeb"/>
        <w:rPr>
          <w:sz w:val="22"/>
          <w:szCs w:val="22"/>
        </w:rPr>
      </w:pPr>
      <w:r w:rsidRPr="00EB486E">
        <w:rPr>
          <w:i/>
          <w:iCs/>
          <w:sz w:val="22"/>
          <w:szCs w:val="22"/>
        </w:rPr>
        <w:t>Solids</w:t>
      </w:r>
      <w:r w:rsidRPr="00EB486E">
        <w:rPr>
          <w:sz w:val="22"/>
          <w:szCs w:val="22"/>
        </w:rPr>
        <w:t xml:space="preserve"> means the non-volatile portion of the coating which after drying makes up the dry film. </w:t>
      </w:r>
    </w:p>
    <w:p w:rsidR="00EB486E" w:rsidRPr="00EB486E" w:rsidRDefault="00EB486E" w:rsidP="00EB486E">
      <w:pPr>
        <w:pStyle w:val="NormalWeb"/>
        <w:rPr>
          <w:sz w:val="22"/>
          <w:szCs w:val="22"/>
        </w:rPr>
      </w:pPr>
      <w:r w:rsidRPr="00EB486E">
        <w:rPr>
          <w:i/>
          <w:iCs/>
          <w:sz w:val="22"/>
          <w:szCs w:val="22"/>
        </w:rPr>
        <w:t>Space vehicle</w:t>
      </w:r>
      <w:r w:rsidRPr="00EB486E">
        <w:rPr>
          <w:sz w:val="22"/>
          <w:szCs w:val="22"/>
        </w:rPr>
        <w:t xml:space="preserve"> means a man-made device, either manned or unmanned, designed for operation beyond earth's atmosphere. This definition includes integral equipment such as models, mock-ups, prototypes, molds, jigs, tooling, hardware jackets, and test coupons. Also included is auxiliary equipment associated with test, transport, and storage, which through contamination can compromise the space vehicle performance. </w:t>
      </w:r>
    </w:p>
    <w:p w:rsidR="00EB486E" w:rsidRPr="00EB486E" w:rsidRDefault="00EB486E" w:rsidP="00EB486E">
      <w:pPr>
        <w:pStyle w:val="NormalWeb"/>
        <w:rPr>
          <w:sz w:val="22"/>
          <w:szCs w:val="22"/>
        </w:rPr>
      </w:pPr>
      <w:r w:rsidRPr="00EB486E">
        <w:rPr>
          <w:i/>
          <w:iCs/>
          <w:sz w:val="22"/>
          <w:szCs w:val="22"/>
        </w:rPr>
        <w:t>Specialty coating</w:t>
      </w:r>
      <w:r w:rsidRPr="00EB486E">
        <w:rPr>
          <w:sz w:val="22"/>
          <w:szCs w:val="22"/>
        </w:rPr>
        <w:t xml:space="preserve"> means a coating that, even though it meets the definition of a primer, topcoat, or self-priming topcoat, has additional performance criteria beyond those of primers, topcoats, and self-priming topcoats for specific applications. These performance criteria may include, but are not limited to, temperature or fire resistance, substrate compatibility, antireflection, temporary protection or marking, sealing, adhesively joining substrates, or enhanced corrosion protection. Individual specialty coatings are defined in appendix A to this subpart and in the CTG for Aerospace Manufacturing and Rework Operations (EPA 453/R-97-004).</w:t>
      </w:r>
    </w:p>
    <w:p w:rsidR="00EB486E" w:rsidRPr="00EB486E" w:rsidRDefault="00EB486E" w:rsidP="00EB486E">
      <w:pPr>
        <w:pStyle w:val="NormalWeb"/>
        <w:rPr>
          <w:sz w:val="22"/>
          <w:szCs w:val="22"/>
        </w:rPr>
      </w:pPr>
      <w:r w:rsidRPr="00EB486E">
        <w:rPr>
          <w:i/>
          <w:iCs/>
          <w:sz w:val="22"/>
          <w:szCs w:val="22"/>
        </w:rPr>
        <w:t>Spot stripping</w:t>
      </w:r>
      <w:r w:rsidRPr="00EB486E">
        <w:rPr>
          <w:sz w:val="22"/>
          <w:szCs w:val="22"/>
        </w:rPr>
        <w:t xml:space="preserve"> means the depainting of an area where it is not technically feasible to use a non-chemical depainting technique. </w:t>
      </w:r>
    </w:p>
    <w:p w:rsidR="00EB486E" w:rsidRPr="00EB486E" w:rsidRDefault="00EB486E" w:rsidP="00EB486E">
      <w:pPr>
        <w:pStyle w:val="NormalWeb"/>
        <w:rPr>
          <w:sz w:val="22"/>
          <w:szCs w:val="22"/>
        </w:rPr>
      </w:pPr>
      <w:r w:rsidRPr="00EB486E">
        <w:rPr>
          <w:i/>
          <w:iCs/>
          <w:sz w:val="22"/>
          <w:szCs w:val="22"/>
        </w:rPr>
        <w:t>Spray-applied coating operation</w:t>
      </w:r>
      <w:r w:rsidRPr="00EB486E">
        <w:rPr>
          <w:sz w:val="22"/>
          <w:szCs w:val="22"/>
        </w:rPr>
        <w:t xml:space="preserve"> means coatings that are applied using a device that creates an atomized mist of coating and deposits the coating on a substrate. For the purposes of this subpart, spray-applied coatings do not include the following materials or activities:</w:t>
      </w:r>
    </w:p>
    <w:p w:rsidR="00EB486E" w:rsidRPr="00EB486E" w:rsidRDefault="00EB486E" w:rsidP="00EB486E">
      <w:pPr>
        <w:pStyle w:val="NormalWeb"/>
        <w:rPr>
          <w:sz w:val="22"/>
          <w:szCs w:val="22"/>
        </w:rPr>
      </w:pPr>
      <w:r w:rsidRPr="00EB486E">
        <w:rPr>
          <w:sz w:val="22"/>
          <w:szCs w:val="22"/>
        </w:rPr>
        <w:t>(1) Coatings applied from a hand-held device with a paint cup capacity that is equal to or less than 3.0 fluid ounces (89 cubic centimeters) in which no more than 3.0 fluid ounces of coating is applied in a single application (</w:t>
      </w:r>
      <w:r w:rsidRPr="00EB486E">
        <w:rPr>
          <w:i/>
          <w:iCs/>
          <w:sz w:val="22"/>
          <w:szCs w:val="22"/>
        </w:rPr>
        <w:t>i.e.,</w:t>
      </w:r>
      <w:r w:rsidRPr="00EB486E">
        <w:rPr>
          <w:sz w:val="22"/>
          <w:szCs w:val="22"/>
        </w:rPr>
        <w:t xml:space="preserve"> the total volume of a single coating formulation applied during any one day to any one aerospace vehicle or component). Under this definition, the use of multiple small paint cups and the refilling of a small paint cup to spray apply more than 3.0 fluid ounces of a coating is a spray-applied coating operation. Under this definition, the use of a paint cup liner in a reusable holder or cup that is designed to hold a liner with a capacity of more than 3.0 fluid ounces is a spray-applied coating operation.</w:t>
      </w:r>
    </w:p>
    <w:p w:rsidR="00EB486E" w:rsidRPr="00EB486E" w:rsidRDefault="00EB486E" w:rsidP="00EB486E">
      <w:pPr>
        <w:pStyle w:val="NormalWeb"/>
        <w:rPr>
          <w:sz w:val="22"/>
          <w:szCs w:val="22"/>
        </w:rPr>
      </w:pPr>
      <w:r w:rsidRPr="00EB486E">
        <w:rPr>
          <w:sz w:val="22"/>
          <w:szCs w:val="22"/>
        </w:rPr>
        <w:t>(2) Application of coating using powder coating, hand-held non-refillable aerosol containers, or non-atomizing application technology, including but not limited to paint brushes, rollers, flow coating, dip coating, electrodeposition coating, web coating, coil coating, touch-up markers, marking pens, trowels, spatulas, daubers, rags, sponges, mechanically and/or pneumatic-driven syringes, and inkjet machines.</w:t>
      </w:r>
    </w:p>
    <w:p w:rsidR="00EB486E" w:rsidRPr="00EB486E" w:rsidRDefault="00EB486E" w:rsidP="00EB486E">
      <w:pPr>
        <w:pStyle w:val="NormalWeb"/>
        <w:rPr>
          <w:sz w:val="22"/>
          <w:szCs w:val="22"/>
        </w:rPr>
      </w:pPr>
      <w:r w:rsidRPr="00EB486E">
        <w:rPr>
          <w:sz w:val="22"/>
          <w:szCs w:val="22"/>
        </w:rPr>
        <w:t>(3) Application of adhesives, sealants, maskants, caulking materials, and inks.</w:t>
      </w:r>
    </w:p>
    <w:p w:rsidR="00EB486E" w:rsidRPr="00EB486E" w:rsidRDefault="00EB486E" w:rsidP="00EB486E">
      <w:pPr>
        <w:pStyle w:val="NormalWeb"/>
        <w:rPr>
          <w:sz w:val="22"/>
          <w:szCs w:val="22"/>
        </w:rPr>
      </w:pPr>
      <w:r w:rsidRPr="00EB486E">
        <w:rPr>
          <w:i/>
          <w:iCs/>
          <w:sz w:val="22"/>
          <w:szCs w:val="22"/>
        </w:rPr>
        <w:t>Spray gun</w:t>
      </w:r>
      <w:r w:rsidRPr="00EB486E">
        <w:rPr>
          <w:sz w:val="22"/>
          <w:szCs w:val="22"/>
        </w:rPr>
        <w:t xml:space="preserve"> means a device that atomizes a coating or other material and projects the particulates or other material onto a substrate. </w:t>
      </w:r>
    </w:p>
    <w:p w:rsidR="00EB486E" w:rsidRPr="00EB486E" w:rsidRDefault="00EB486E" w:rsidP="00EB486E">
      <w:pPr>
        <w:pStyle w:val="NormalWeb"/>
        <w:rPr>
          <w:sz w:val="22"/>
          <w:szCs w:val="22"/>
        </w:rPr>
      </w:pPr>
      <w:r w:rsidRPr="00EB486E">
        <w:rPr>
          <w:i/>
          <w:iCs/>
          <w:sz w:val="22"/>
          <w:szCs w:val="22"/>
        </w:rPr>
        <w:t>Stripper</w:t>
      </w:r>
      <w:r w:rsidRPr="00EB486E">
        <w:rPr>
          <w:sz w:val="22"/>
          <w:szCs w:val="22"/>
        </w:rPr>
        <w:t xml:space="preserve"> means a liquid that is applied to an aerospace vehicle or component to remove permanent coatings such as primers, topcoats, and specialty coatings.</w:t>
      </w:r>
    </w:p>
    <w:p w:rsidR="00EB486E" w:rsidRPr="00EB486E" w:rsidRDefault="00EB486E" w:rsidP="00EB486E">
      <w:pPr>
        <w:pStyle w:val="NormalWeb"/>
        <w:rPr>
          <w:sz w:val="22"/>
          <w:szCs w:val="22"/>
        </w:rPr>
      </w:pPr>
      <w:r w:rsidRPr="00EB486E">
        <w:rPr>
          <w:i/>
          <w:iCs/>
          <w:sz w:val="22"/>
          <w:szCs w:val="22"/>
        </w:rPr>
        <w:t>Surface preparation</w:t>
      </w:r>
      <w:r w:rsidRPr="00EB486E">
        <w:rPr>
          <w:sz w:val="22"/>
          <w:szCs w:val="22"/>
        </w:rPr>
        <w:t xml:space="preserve"> means the removal of contaminants from the surface of an aerospace vehicle or component, or the activation or reactivation of the surface in preparation for the application of a coating. </w:t>
      </w:r>
    </w:p>
    <w:p w:rsidR="00EB486E" w:rsidRPr="00EB486E" w:rsidRDefault="00EB486E" w:rsidP="00EB486E">
      <w:pPr>
        <w:pStyle w:val="NormalWeb"/>
        <w:rPr>
          <w:sz w:val="22"/>
          <w:szCs w:val="22"/>
        </w:rPr>
      </w:pPr>
      <w:r w:rsidRPr="00EB486E">
        <w:rPr>
          <w:i/>
          <w:iCs/>
          <w:sz w:val="22"/>
          <w:szCs w:val="22"/>
        </w:rPr>
        <w:lastRenderedPageBreak/>
        <w:t>Temporary total enclosure</w:t>
      </w:r>
      <w:r w:rsidRPr="00EB486E">
        <w:rPr>
          <w:sz w:val="22"/>
          <w:szCs w:val="22"/>
        </w:rPr>
        <w:t xml:space="preserve"> means a total enclosure that is constructed for the sole purpose of measuring the emissions from an affected source that are not delivered to an emission control device. A temporary total enclosure must be constructed and ventilated (through stacks suitable for testing) so that it has minimal impact on the performance of the permanent emission capture system. A temporary total enclosure will be assumed to achieve total capture of fugitive emissions if it conforms to the requirements found in §63.750(g)(4) and if all natural draft openings are at least four duct or hood equivalent diameters away from each exhaust duct or hood. Alternatively, the owner or operator may apply to the Administrator for approval of a temporary enclosure on a case-by-case basis. </w:t>
      </w:r>
    </w:p>
    <w:p w:rsidR="00EB486E" w:rsidRPr="00EB486E" w:rsidRDefault="00EB486E" w:rsidP="00EB486E">
      <w:pPr>
        <w:pStyle w:val="NormalWeb"/>
        <w:rPr>
          <w:sz w:val="22"/>
          <w:szCs w:val="22"/>
        </w:rPr>
      </w:pPr>
      <w:r w:rsidRPr="00EB486E">
        <w:rPr>
          <w:i/>
          <w:iCs/>
          <w:sz w:val="22"/>
          <w:szCs w:val="22"/>
        </w:rPr>
        <w:t>Topcoat</w:t>
      </w:r>
      <w:r w:rsidRPr="00EB486E">
        <w:rPr>
          <w:sz w:val="22"/>
          <w:szCs w:val="22"/>
        </w:rPr>
        <w:t xml:space="preserve"> means a coating that is applied over a primer on an aerospace vehicle or component for appearance, identification, camouflage, or protection. Coatings that are defined as specialty coatings are not included under this definition. </w:t>
      </w:r>
    </w:p>
    <w:p w:rsidR="00EB486E" w:rsidRPr="00EB486E" w:rsidRDefault="00EB486E" w:rsidP="00EB486E">
      <w:pPr>
        <w:pStyle w:val="NormalWeb"/>
        <w:rPr>
          <w:sz w:val="22"/>
          <w:szCs w:val="22"/>
        </w:rPr>
      </w:pPr>
      <w:r w:rsidRPr="00EB486E">
        <w:rPr>
          <w:i/>
          <w:iCs/>
          <w:sz w:val="22"/>
          <w:szCs w:val="22"/>
        </w:rPr>
        <w:t>Total enclosure</w:t>
      </w:r>
      <w:r w:rsidRPr="00EB486E">
        <w:rPr>
          <w:sz w:val="22"/>
          <w:szCs w:val="22"/>
        </w:rPr>
        <w:t xml:space="preserve"> means a permanent structure that is constructed around a gaseous emission source so that all gaseous pollutants emitted from the source are collected and ducted through a control device, such that 100% capture efficiency is achieved. There are no fugitive emissions from a total enclosure. The only openings in a total enclosure are forced makeup air and exhaust ducts and any natural draft openings such as those that allow raw materials to enter and exit the enclosure for processing. All access doors or windows are closed during routine operation of the enclosed source. Brief, occasional openings of such doors or windows to accommodate process equipment adjustments are acceptable, but if such openings are routine or if an access door remains open during the entire operation, the access door must be considered a natural draft opening. The average inward face velocity across the natural draft openings of the enclosure must be calculated including the area of such access doors. The drying oven itself may be part of the total enclosure. An enclosure that meets the requirements found in §63.750(g)(4) is a permanent total enclosure. </w:t>
      </w:r>
    </w:p>
    <w:p w:rsidR="00EB486E" w:rsidRPr="00EB486E" w:rsidRDefault="00EB486E" w:rsidP="00EB486E">
      <w:pPr>
        <w:pStyle w:val="NormalWeb"/>
        <w:rPr>
          <w:sz w:val="22"/>
          <w:szCs w:val="22"/>
        </w:rPr>
      </w:pPr>
      <w:r w:rsidRPr="00EB486E">
        <w:rPr>
          <w:i/>
          <w:iCs/>
          <w:sz w:val="22"/>
          <w:szCs w:val="22"/>
        </w:rPr>
        <w:t>Touch-up and repair operation</w:t>
      </w:r>
      <w:r w:rsidRPr="00EB486E">
        <w:rPr>
          <w:sz w:val="22"/>
          <w:szCs w:val="22"/>
        </w:rPr>
        <w:t xml:space="preserve"> means that portion of the coating operation that is the incidental application of coating used to cover minor imperfections in the coating finish or to achieve complete coverage. This definition includes out-of-sequence or out-of-cycle coating. </w:t>
      </w:r>
    </w:p>
    <w:p w:rsidR="00EB486E" w:rsidRPr="00EB486E" w:rsidRDefault="00EB486E" w:rsidP="00EB486E">
      <w:pPr>
        <w:pStyle w:val="NormalWeb"/>
        <w:rPr>
          <w:sz w:val="22"/>
          <w:szCs w:val="22"/>
        </w:rPr>
      </w:pPr>
      <w:r w:rsidRPr="00EB486E">
        <w:rPr>
          <w:i/>
          <w:iCs/>
          <w:sz w:val="22"/>
          <w:szCs w:val="22"/>
        </w:rPr>
        <w:t>Two-stage filter system</w:t>
      </w:r>
      <w:r w:rsidRPr="00EB486E">
        <w:rPr>
          <w:sz w:val="22"/>
          <w:szCs w:val="22"/>
        </w:rPr>
        <w:t xml:space="preserve"> means a dry particulate filter system using two layers of filter media to remove particulate. The first stage is designed to remove the bulk of the particulate and a higher efficiency second stage is designed to remove smaller particulate. </w:t>
      </w:r>
    </w:p>
    <w:p w:rsidR="00EB486E" w:rsidRPr="00EB486E" w:rsidRDefault="00EB486E" w:rsidP="00EB486E">
      <w:pPr>
        <w:pStyle w:val="NormalWeb"/>
        <w:rPr>
          <w:sz w:val="22"/>
          <w:szCs w:val="22"/>
        </w:rPr>
      </w:pPr>
      <w:r w:rsidRPr="00EB486E">
        <w:rPr>
          <w:i/>
          <w:iCs/>
          <w:sz w:val="22"/>
          <w:szCs w:val="22"/>
        </w:rPr>
        <w:t>Type I etchant</w:t>
      </w:r>
      <w:r w:rsidRPr="00EB486E">
        <w:rPr>
          <w:sz w:val="22"/>
          <w:szCs w:val="22"/>
        </w:rPr>
        <w:t xml:space="preserve"> means a chemical milling etchant that contains varying amounts of dissolved sulfur and does not contain amines.</w:t>
      </w:r>
    </w:p>
    <w:p w:rsidR="00EB486E" w:rsidRPr="00EB486E" w:rsidRDefault="00EB486E" w:rsidP="00EB486E">
      <w:pPr>
        <w:pStyle w:val="NormalWeb"/>
        <w:rPr>
          <w:sz w:val="22"/>
          <w:szCs w:val="22"/>
        </w:rPr>
      </w:pPr>
      <w:r w:rsidRPr="00EB486E">
        <w:rPr>
          <w:i/>
          <w:iCs/>
          <w:sz w:val="22"/>
          <w:szCs w:val="22"/>
        </w:rPr>
        <w:t>Type II etchant</w:t>
      </w:r>
      <w:r w:rsidRPr="00EB486E">
        <w:rPr>
          <w:sz w:val="22"/>
          <w:szCs w:val="22"/>
        </w:rPr>
        <w:t xml:space="preserve"> means a chemical milling etchant that is a strong sodium hydroxide solution containing amines.</w:t>
      </w:r>
    </w:p>
    <w:p w:rsidR="00EB486E" w:rsidRPr="00EB486E" w:rsidRDefault="00EB486E" w:rsidP="00EB486E">
      <w:pPr>
        <w:pStyle w:val="NormalWeb"/>
        <w:rPr>
          <w:sz w:val="22"/>
          <w:szCs w:val="22"/>
        </w:rPr>
      </w:pPr>
      <w:r w:rsidRPr="00EB486E">
        <w:rPr>
          <w:i/>
          <w:iCs/>
          <w:sz w:val="22"/>
          <w:szCs w:val="22"/>
        </w:rPr>
        <w:t>Volatile organic compound (VOC)</w:t>
      </w:r>
      <w:r w:rsidRPr="00EB486E">
        <w:rPr>
          <w:sz w:val="22"/>
          <w:szCs w:val="22"/>
        </w:rPr>
        <w:t xml:space="preserve"> means any compound defined as VOC in 40 CFR 51.100. This includes any organic compound other than those determined by the EPA to be an exempt solvent. For purposes of determining compliance with emission limits, VOC will be measured by the approved test methods. Where such a method also inadvertently measures compounds that are exempt solvent, an owner or operator may exclude these exempt solvents when determining compliance with an emission standard. </w:t>
      </w:r>
    </w:p>
    <w:p w:rsidR="00EB486E" w:rsidRPr="00EB486E" w:rsidRDefault="00EB486E" w:rsidP="00EB486E">
      <w:pPr>
        <w:pStyle w:val="NormalWeb"/>
        <w:rPr>
          <w:sz w:val="22"/>
          <w:szCs w:val="22"/>
        </w:rPr>
      </w:pPr>
      <w:r w:rsidRPr="00EB486E">
        <w:rPr>
          <w:i/>
          <w:iCs/>
          <w:sz w:val="22"/>
          <w:szCs w:val="22"/>
        </w:rPr>
        <w:t>Waterborne (water-reducible) coating</w:t>
      </w:r>
      <w:r w:rsidRPr="00EB486E">
        <w:rPr>
          <w:sz w:val="22"/>
          <w:szCs w:val="22"/>
        </w:rPr>
        <w:t xml:space="preserve"> means any coating that contains more than 5 percent water by weight as applied in its volatile fraction.</w:t>
      </w:r>
    </w:p>
    <w:p w:rsidR="00EB486E" w:rsidRPr="00EB486E" w:rsidRDefault="00EB486E" w:rsidP="00EB486E">
      <w:pPr>
        <w:pStyle w:val="NormalWeb"/>
        <w:rPr>
          <w:sz w:val="22"/>
          <w:szCs w:val="22"/>
        </w:rPr>
      </w:pPr>
      <w:r w:rsidRPr="00EB486E">
        <w:rPr>
          <w:i/>
          <w:iCs/>
          <w:sz w:val="22"/>
          <w:szCs w:val="22"/>
        </w:rPr>
        <w:lastRenderedPageBreak/>
        <w:t>Waterwash system</w:t>
      </w:r>
      <w:r w:rsidRPr="00EB486E">
        <w:rPr>
          <w:sz w:val="22"/>
          <w:szCs w:val="22"/>
        </w:rPr>
        <w:t xml:space="preserve"> means a control system that utilizes flowing water (i.e., a conventional waterwash system) or a pumpless system to remove particulate emissions from the exhaust air stream in spray coating application or dry media blast depainting operations.</w:t>
      </w:r>
    </w:p>
    <w:p w:rsidR="00EB486E" w:rsidRPr="00EB486E" w:rsidRDefault="00EB486E" w:rsidP="00EB486E">
      <w:pPr>
        <w:pStyle w:val="NormalWeb"/>
        <w:rPr>
          <w:sz w:val="22"/>
          <w:szCs w:val="22"/>
        </w:rPr>
      </w:pPr>
      <w:r w:rsidRPr="00EB486E">
        <w:rPr>
          <w:i/>
          <w:iCs/>
          <w:sz w:val="22"/>
          <w:szCs w:val="22"/>
        </w:rPr>
        <w:t>Nomenclature for determining carbon adsorber efficiency</w:t>
      </w:r>
      <w:r w:rsidRPr="00EB486E">
        <w:rPr>
          <w:sz w:val="22"/>
          <w:szCs w:val="22"/>
        </w:rPr>
        <w:t xml:space="preserve">—The nomenclature defined below is used in §63.750(g): </w:t>
      </w:r>
    </w:p>
    <w:p w:rsidR="00EB486E" w:rsidRPr="00EB486E" w:rsidRDefault="00EB486E" w:rsidP="00EB486E">
      <w:pPr>
        <w:pStyle w:val="NormalWeb"/>
        <w:rPr>
          <w:sz w:val="22"/>
          <w:szCs w:val="22"/>
        </w:rPr>
      </w:pPr>
      <w:r w:rsidRPr="00EB486E">
        <w:rPr>
          <w:sz w:val="22"/>
          <w:szCs w:val="22"/>
        </w:rPr>
        <w:t>(1) A</w:t>
      </w:r>
      <w:r w:rsidRPr="00EB486E">
        <w:rPr>
          <w:sz w:val="22"/>
          <w:szCs w:val="22"/>
          <w:vertAlign w:val="subscript"/>
        </w:rPr>
        <w:t>k</w:t>
      </w:r>
      <w:r w:rsidRPr="00EB486E">
        <w:rPr>
          <w:sz w:val="22"/>
          <w:szCs w:val="22"/>
        </w:rPr>
        <w:t xml:space="preserve"> = the area of each natural draft opening (k) in a total enclosure, in square meters. </w:t>
      </w:r>
    </w:p>
    <w:p w:rsidR="00EB486E" w:rsidRPr="00EB486E" w:rsidRDefault="00EB486E" w:rsidP="00EB486E">
      <w:pPr>
        <w:pStyle w:val="NormalWeb"/>
        <w:rPr>
          <w:sz w:val="22"/>
          <w:szCs w:val="22"/>
        </w:rPr>
      </w:pPr>
      <w:r w:rsidRPr="00EB486E">
        <w:rPr>
          <w:sz w:val="22"/>
          <w:szCs w:val="22"/>
        </w:rPr>
        <w:t>(2) C</w:t>
      </w:r>
      <w:r w:rsidRPr="00EB486E">
        <w:rPr>
          <w:sz w:val="22"/>
          <w:szCs w:val="22"/>
          <w:vertAlign w:val="subscript"/>
        </w:rPr>
        <w:t>aj</w:t>
      </w:r>
      <w:r w:rsidRPr="00EB486E">
        <w:rPr>
          <w:sz w:val="22"/>
          <w:szCs w:val="22"/>
        </w:rPr>
        <w:t xml:space="preserve"> = the concentration of HAP or VOC in each gas stream (j) exiting the emission control device, in parts per million by volume. </w:t>
      </w:r>
    </w:p>
    <w:p w:rsidR="00EB486E" w:rsidRPr="00EB486E" w:rsidRDefault="00EB486E" w:rsidP="00EB486E">
      <w:pPr>
        <w:pStyle w:val="NormalWeb"/>
        <w:rPr>
          <w:sz w:val="22"/>
          <w:szCs w:val="22"/>
        </w:rPr>
      </w:pPr>
      <w:r w:rsidRPr="00EB486E">
        <w:rPr>
          <w:sz w:val="22"/>
          <w:szCs w:val="22"/>
        </w:rPr>
        <w:t>(3) C</w:t>
      </w:r>
      <w:r w:rsidRPr="00EB486E">
        <w:rPr>
          <w:sz w:val="22"/>
          <w:szCs w:val="22"/>
          <w:vertAlign w:val="subscript"/>
        </w:rPr>
        <w:t>bi</w:t>
      </w:r>
      <w:r w:rsidRPr="00EB486E">
        <w:rPr>
          <w:sz w:val="22"/>
          <w:szCs w:val="22"/>
        </w:rPr>
        <w:t xml:space="preserve"> = the concentration of HAP or VOC in each gas stream (i) entering the emission control device, in parts per million by volume. </w:t>
      </w:r>
    </w:p>
    <w:p w:rsidR="00EB486E" w:rsidRPr="00EB486E" w:rsidRDefault="00EB486E" w:rsidP="00EB486E">
      <w:pPr>
        <w:pStyle w:val="NormalWeb"/>
        <w:rPr>
          <w:sz w:val="22"/>
          <w:szCs w:val="22"/>
        </w:rPr>
      </w:pPr>
      <w:r w:rsidRPr="00EB486E">
        <w:rPr>
          <w:sz w:val="22"/>
          <w:szCs w:val="22"/>
        </w:rPr>
        <w:t>(4) C</w:t>
      </w:r>
      <w:r w:rsidRPr="00EB486E">
        <w:rPr>
          <w:sz w:val="22"/>
          <w:szCs w:val="22"/>
          <w:vertAlign w:val="subscript"/>
        </w:rPr>
        <w:t>di</w:t>
      </w:r>
      <w:r w:rsidRPr="00EB486E">
        <w:rPr>
          <w:sz w:val="22"/>
          <w:szCs w:val="22"/>
        </w:rPr>
        <w:t xml:space="preserve"> = the concentration of HAP or VOC in each gas stream (i) entering the emission control device from the affected source, in parts per million by volume. </w:t>
      </w:r>
    </w:p>
    <w:p w:rsidR="00EB486E" w:rsidRPr="00EB486E" w:rsidRDefault="00EB486E" w:rsidP="00EB486E">
      <w:pPr>
        <w:pStyle w:val="NormalWeb"/>
        <w:rPr>
          <w:sz w:val="22"/>
          <w:szCs w:val="22"/>
        </w:rPr>
      </w:pPr>
      <w:r w:rsidRPr="00EB486E">
        <w:rPr>
          <w:sz w:val="22"/>
          <w:szCs w:val="22"/>
        </w:rPr>
        <w:t>(5) C</w:t>
      </w:r>
      <w:r w:rsidRPr="00EB486E">
        <w:rPr>
          <w:sz w:val="22"/>
          <w:szCs w:val="22"/>
          <w:vertAlign w:val="subscript"/>
        </w:rPr>
        <w:t>fk</w:t>
      </w:r>
      <w:r w:rsidRPr="00EB486E">
        <w:rPr>
          <w:sz w:val="22"/>
          <w:szCs w:val="22"/>
        </w:rPr>
        <w:t xml:space="preserve"> = the concentration of HAP or VOC in each uncontrolled gas stream (k) emitted directly to the atmosphere from the affected source, in parts per million by volume. </w:t>
      </w:r>
    </w:p>
    <w:p w:rsidR="00EB486E" w:rsidRPr="00EB486E" w:rsidRDefault="00EB486E" w:rsidP="00EB486E">
      <w:pPr>
        <w:pStyle w:val="NormalWeb"/>
        <w:rPr>
          <w:sz w:val="22"/>
          <w:szCs w:val="22"/>
        </w:rPr>
      </w:pPr>
      <w:r w:rsidRPr="00EB486E">
        <w:rPr>
          <w:sz w:val="22"/>
          <w:szCs w:val="22"/>
        </w:rPr>
        <w:t>(6) C</w:t>
      </w:r>
      <w:r w:rsidRPr="00EB486E">
        <w:rPr>
          <w:sz w:val="22"/>
          <w:szCs w:val="22"/>
          <w:vertAlign w:val="subscript"/>
        </w:rPr>
        <w:t>gv</w:t>
      </w:r>
      <w:r w:rsidRPr="00EB486E">
        <w:rPr>
          <w:sz w:val="22"/>
          <w:szCs w:val="22"/>
        </w:rPr>
        <w:t xml:space="preserve"> = the concentration of HAP or VOC in each uncontrolled gas stream entering each individual carbon adsorber vessel (v), in parts per million by volume. For the purposes of calculating the efficiency of the individual carbon adsorber vessel, C</w:t>
      </w:r>
      <w:r w:rsidRPr="00EB486E">
        <w:rPr>
          <w:sz w:val="22"/>
          <w:szCs w:val="22"/>
          <w:vertAlign w:val="subscript"/>
        </w:rPr>
        <w:t>gv</w:t>
      </w:r>
      <w:r w:rsidRPr="00EB486E">
        <w:rPr>
          <w:sz w:val="22"/>
          <w:szCs w:val="22"/>
        </w:rPr>
        <w:t xml:space="preserve"> may be measured in the carbon adsorption system's common inlet duct prior to the branching of individual inlet ducts to the individual carbon adsorber vessels. </w:t>
      </w:r>
    </w:p>
    <w:p w:rsidR="00EB486E" w:rsidRPr="00EB486E" w:rsidRDefault="00EB486E" w:rsidP="00EB486E">
      <w:pPr>
        <w:pStyle w:val="NormalWeb"/>
        <w:rPr>
          <w:sz w:val="22"/>
          <w:szCs w:val="22"/>
        </w:rPr>
      </w:pPr>
      <w:r w:rsidRPr="00EB486E">
        <w:rPr>
          <w:sz w:val="22"/>
          <w:szCs w:val="22"/>
        </w:rPr>
        <w:t>(7) C</w:t>
      </w:r>
      <w:r w:rsidRPr="00EB486E">
        <w:rPr>
          <w:sz w:val="22"/>
          <w:szCs w:val="22"/>
          <w:vertAlign w:val="subscript"/>
        </w:rPr>
        <w:t>hv</w:t>
      </w:r>
      <w:r w:rsidRPr="00EB486E">
        <w:rPr>
          <w:sz w:val="22"/>
          <w:szCs w:val="22"/>
        </w:rPr>
        <w:t xml:space="preserve"> = the concentration of HAP or VOC in the gas stream exiting each individual carbon adsorber vessel (v), in parts per million by volume. </w:t>
      </w:r>
    </w:p>
    <w:p w:rsidR="00EB486E" w:rsidRPr="00EB486E" w:rsidRDefault="00EB486E" w:rsidP="00EB486E">
      <w:pPr>
        <w:pStyle w:val="NormalWeb"/>
        <w:rPr>
          <w:sz w:val="22"/>
          <w:szCs w:val="22"/>
        </w:rPr>
      </w:pPr>
      <w:r w:rsidRPr="00EB486E">
        <w:rPr>
          <w:sz w:val="22"/>
          <w:szCs w:val="22"/>
        </w:rPr>
        <w:t xml:space="preserve">(8) E = the control device efficiency achieved for the duration of the emission test (expressed as a fraction). </w:t>
      </w:r>
    </w:p>
    <w:p w:rsidR="00EB486E" w:rsidRPr="00EB486E" w:rsidRDefault="00EB486E" w:rsidP="00EB486E">
      <w:pPr>
        <w:pStyle w:val="NormalWeb"/>
        <w:rPr>
          <w:sz w:val="22"/>
          <w:szCs w:val="22"/>
        </w:rPr>
      </w:pPr>
      <w:r w:rsidRPr="00EB486E">
        <w:rPr>
          <w:sz w:val="22"/>
          <w:szCs w:val="22"/>
        </w:rPr>
        <w:t xml:space="preserve">(9) F = the HAP or VOC emission capture efficiency of the HAP or VOC capture system achieved for the duration of the emission test (expressed as a fraction). </w:t>
      </w:r>
    </w:p>
    <w:p w:rsidR="00EB486E" w:rsidRPr="00EB486E" w:rsidRDefault="00EB486E" w:rsidP="00EB486E">
      <w:pPr>
        <w:pStyle w:val="NormalWeb"/>
        <w:rPr>
          <w:sz w:val="22"/>
          <w:szCs w:val="22"/>
        </w:rPr>
      </w:pPr>
      <w:r w:rsidRPr="00EB486E">
        <w:rPr>
          <w:sz w:val="22"/>
          <w:szCs w:val="22"/>
        </w:rPr>
        <w:t xml:space="preserve">(10) FV = the average inward face velocity across all natural draft openings in a total enclosure, in meters per hour. </w:t>
      </w:r>
    </w:p>
    <w:p w:rsidR="00EB486E" w:rsidRPr="00EB486E" w:rsidRDefault="00EB486E" w:rsidP="00EB486E">
      <w:pPr>
        <w:pStyle w:val="NormalWeb"/>
        <w:rPr>
          <w:sz w:val="22"/>
          <w:szCs w:val="22"/>
        </w:rPr>
      </w:pPr>
      <w:r w:rsidRPr="00EB486E">
        <w:rPr>
          <w:sz w:val="22"/>
          <w:szCs w:val="22"/>
        </w:rPr>
        <w:t>(11) H</w:t>
      </w:r>
      <w:r w:rsidRPr="00EB486E">
        <w:rPr>
          <w:sz w:val="22"/>
          <w:szCs w:val="22"/>
          <w:vertAlign w:val="subscript"/>
        </w:rPr>
        <w:t>v</w:t>
      </w:r>
      <w:r w:rsidRPr="00EB486E">
        <w:rPr>
          <w:sz w:val="22"/>
          <w:szCs w:val="22"/>
        </w:rPr>
        <w:t xml:space="preserve"> = the individual carbon adsorber vessel (v) efficiency achieved for the duration of the emission test (expressed as a fraction). </w:t>
      </w:r>
    </w:p>
    <w:p w:rsidR="00EB486E" w:rsidRPr="00EB486E" w:rsidRDefault="00EB486E" w:rsidP="00EB486E">
      <w:pPr>
        <w:pStyle w:val="NormalWeb"/>
        <w:rPr>
          <w:sz w:val="22"/>
          <w:szCs w:val="22"/>
        </w:rPr>
      </w:pPr>
      <w:r w:rsidRPr="00EB486E">
        <w:rPr>
          <w:sz w:val="22"/>
          <w:szCs w:val="22"/>
        </w:rPr>
        <w:t>(12) H</w:t>
      </w:r>
      <w:r w:rsidRPr="00EB486E">
        <w:rPr>
          <w:sz w:val="22"/>
          <w:szCs w:val="22"/>
          <w:vertAlign w:val="subscript"/>
        </w:rPr>
        <w:t>sys</w:t>
      </w:r>
      <w:r w:rsidRPr="00EB486E">
        <w:rPr>
          <w:sz w:val="22"/>
          <w:szCs w:val="22"/>
        </w:rPr>
        <w:t xml:space="preserve"> = the efficiency of the carbon adsorption system calculated when each carbon adsorber vessel has an individual exhaust stack (expressed as a fraction). </w:t>
      </w:r>
    </w:p>
    <w:p w:rsidR="00EB486E" w:rsidRPr="00EB486E" w:rsidRDefault="00EB486E" w:rsidP="00EB486E">
      <w:pPr>
        <w:pStyle w:val="NormalWeb"/>
        <w:rPr>
          <w:sz w:val="22"/>
          <w:szCs w:val="22"/>
        </w:rPr>
      </w:pPr>
      <w:r w:rsidRPr="00EB486E">
        <w:rPr>
          <w:sz w:val="22"/>
          <w:szCs w:val="22"/>
        </w:rPr>
        <w:t>(13) M</w:t>
      </w:r>
      <w:r w:rsidRPr="00EB486E">
        <w:rPr>
          <w:sz w:val="22"/>
          <w:szCs w:val="22"/>
          <w:vertAlign w:val="subscript"/>
        </w:rPr>
        <w:t>ci</w:t>
      </w:r>
      <w:r w:rsidRPr="00EB486E">
        <w:rPr>
          <w:sz w:val="22"/>
          <w:szCs w:val="22"/>
        </w:rPr>
        <w:t xml:space="preserve"> = the total mass in kilograms of each batch of coating (i) applied, or of each coating applied at an affected coating operation during a 7 to 30-day period, as appropriate, as determined from records at the affected source. This quantity shall be determined at a time and location in the process after all ingredients (including any dilution solvent) have been added to the coating, or if ingredients are added after the mass of the coating has been determined, appropriate adjustments shall be made to account for them. </w:t>
      </w:r>
    </w:p>
    <w:p w:rsidR="00EB486E" w:rsidRPr="00EB486E" w:rsidRDefault="00EB486E" w:rsidP="00EB486E">
      <w:pPr>
        <w:pStyle w:val="NormalWeb"/>
        <w:rPr>
          <w:sz w:val="22"/>
          <w:szCs w:val="22"/>
        </w:rPr>
      </w:pPr>
      <w:r w:rsidRPr="00EB486E">
        <w:rPr>
          <w:sz w:val="22"/>
          <w:szCs w:val="22"/>
        </w:rPr>
        <w:lastRenderedPageBreak/>
        <w:t>(14) M</w:t>
      </w:r>
      <w:r w:rsidRPr="00EB486E">
        <w:rPr>
          <w:sz w:val="22"/>
          <w:szCs w:val="22"/>
          <w:vertAlign w:val="subscript"/>
        </w:rPr>
        <w:t>r</w:t>
      </w:r>
      <w:r w:rsidRPr="00EB486E">
        <w:rPr>
          <w:sz w:val="22"/>
          <w:szCs w:val="22"/>
        </w:rPr>
        <w:t xml:space="preserve"> = the total mass in kilograms of HAP or VOC recovered for a 7 to 30-day period. </w:t>
      </w:r>
    </w:p>
    <w:p w:rsidR="00EB486E" w:rsidRPr="00EB486E" w:rsidRDefault="00EB486E" w:rsidP="00EB486E">
      <w:pPr>
        <w:pStyle w:val="NormalWeb"/>
        <w:rPr>
          <w:sz w:val="22"/>
          <w:szCs w:val="22"/>
        </w:rPr>
      </w:pPr>
      <w:r w:rsidRPr="00EB486E">
        <w:rPr>
          <w:sz w:val="22"/>
          <w:szCs w:val="22"/>
        </w:rPr>
        <w:t>(15) Q</w:t>
      </w:r>
      <w:r w:rsidRPr="00EB486E">
        <w:rPr>
          <w:sz w:val="22"/>
          <w:szCs w:val="22"/>
          <w:vertAlign w:val="subscript"/>
        </w:rPr>
        <w:t>aj</w:t>
      </w:r>
      <w:r w:rsidRPr="00EB486E">
        <w:rPr>
          <w:sz w:val="22"/>
          <w:szCs w:val="22"/>
        </w:rPr>
        <w:t xml:space="preserve"> = the volumetric flow rate of each gas stream (j) exiting the emission control device in either dry standard cubic meters per hour when EPA Method 18 in appendix A of part 60 is used to measure HAP or VOC concentration or in standard cubic meters per hour (wet basis) when EPA Method 25A is used to measure HAP or VOC concentration. </w:t>
      </w:r>
    </w:p>
    <w:p w:rsidR="00EB486E" w:rsidRPr="00EB486E" w:rsidRDefault="00EB486E" w:rsidP="00EB486E">
      <w:pPr>
        <w:pStyle w:val="NormalWeb"/>
        <w:rPr>
          <w:sz w:val="22"/>
          <w:szCs w:val="22"/>
        </w:rPr>
      </w:pPr>
      <w:r w:rsidRPr="00EB486E">
        <w:rPr>
          <w:sz w:val="22"/>
          <w:szCs w:val="22"/>
        </w:rPr>
        <w:t>(16) Q</w:t>
      </w:r>
      <w:r w:rsidRPr="00EB486E">
        <w:rPr>
          <w:sz w:val="22"/>
          <w:szCs w:val="22"/>
          <w:vertAlign w:val="subscript"/>
        </w:rPr>
        <w:t>bi</w:t>
      </w:r>
      <w:r w:rsidRPr="00EB486E">
        <w:rPr>
          <w:sz w:val="22"/>
          <w:szCs w:val="22"/>
        </w:rPr>
        <w:t xml:space="preserve"> = the volumetric flow rate of each gas stream (i) entering the emission control device, in dry standard cubic meters per hour when EPA Method 18 is used to measure HAP or VOC concentration or in standard cubic meters per hour (wet basis) when EPA Method 25A is used to measure HAP or VOC concentration. </w:t>
      </w:r>
    </w:p>
    <w:p w:rsidR="00EB486E" w:rsidRPr="00EB486E" w:rsidRDefault="00EB486E" w:rsidP="00EB486E">
      <w:pPr>
        <w:pStyle w:val="NormalWeb"/>
        <w:rPr>
          <w:sz w:val="22"/>
          <w:szCs w:val="22"/>
        </w:rPr>
      </w:pPr>
      <w:r w:rsidRPr="00EB486E">
        <w:rPr>
          <w:sz w:val="22"/>
          <w:szCs w:val="22"/>
        </w:rPr>
        <w:t>(17) Q</w:t>
      </w:r>
      <w:r w:rsidRPr="00EB486E">
        <w:rPr>
          <w:sz w:val="22"/>
          <w:szCs w:val="22"/>
          <w:vertAlign w:val="subscript"/>
        </w:rPr>
        <w:t>di</w:t>
      </w:r>
      <w:r w:rsidRPr="00EB486E">
        <w:rPr>
          <w:sz w:val="22"/>
          <w:szCs w:val="22"/>
        </w:rPr>
        <w:t xml:space="preserve"> = the volumetric flow rate of each gas stream (i) entering the emission control device from the affected source in either dry standard cubic meters per hour when EPA Method 18 is used to measure HAP or VOC concentration or in standard cubic meters per hour (wet basis) when EPA Method 25A is used to measure HAP or VOC concentration. </w:t>
      </w:r>
    </w:p>
    <w:p w:rsidR="00EB486E" w:rsidRPr="00EB486E" w:rsidRDefault="00EB486E" w:rsidP="00EB486E">
      <w:pPr>
        <w:pStyle w:val="NormalWeb"/>
        <w:rPr>
          <w:sz w:val="22"/>
          <w:szCs w:val="22"/>
        </w:rPr>
      </w:pPr>
      <w:r w:rsidRPr="00EB486E">
        <w:rPr>
          <w:sz w:val="22"/>
          <w:szCs w:val="22"/>
        </w:rPr>
        <w:t>(18) Q</w:t>
      </w:r>
      <w:r w:rsidRPr="00EB486E">
        <w:rPr>
          <w:sz w:val="22"/>
          <w:szCs w:val="22"/>
          <w:vertAlign w:val="subscript"/>
        </w:rPr>
        <w:t>fk</w:t>
      </w:r>
      <w:r w:rsidRPr="00EB486E">
        <w:rPr>
          <w:sz w:val="22"/>
          <w:szCs w:val="22"/>
        </w:rPr>
        <w:t xml:space="preserve"> = the volumetric flow rate of each uncontrolled gas stream (k) emitted directly to the atmosphere from the affected source in either dry standard cubic meters per hour when EPA Method 18 is used to measure HAP or VOC concentration or in standard cubic meters per hour (wet basis) when EPA Method 25A is used to measure HAP or VOC concentration. </w:t>
      </w:r>
    </w:p>
    <w:p w:rsidR="00EB486E" w:rsidRPr="00EB486E" w:rsidRDefault="00EB486E" w:rsidP="00EB486E">
      <w:pPr>
        <w:pStyle w:val="NormalWeb"/>
        <w:rPr>
          <w:sz w:val="22"/>
          <w:szCs w:val="22"/>
        </w:rPr>
      </w:pPr>
      <w:r w:rsidRPr="00EB486E">
        <w:rPr>
          <w:sz w:val="22"/>
          <w:szCs w:val="22"/>
        </w:rPr>
        <w:t>(19) Q</w:t>
      </w:r>
      <w:r w:rsidRPr="00EB486E">
        <w:rPr>
          <w:sz w:val="22"/>
          <w:szCs w:val="22"/>
          <w:vertAlign w:val="subscript"/>
        </w:rPr>
        <w:t>gv</w:t>
      </w:r>
      <w:r w:rsidRPr="00EB486E">
        <w:rPr>
          <w:sz w:val="22"/>
          <w:szCs w:val="22"/>
        </w:rPr>
        <w:t xml:space="preserve"> = the volumetric flow rate of each gas stream entering each individual carbon adsorber vessel (v) in either dry standard cubic meters per hour when EPA Method 18 is used to measure HAP or VOC concentration or in standard cubic meters per hour (wet basis) when EPA Method 25A is used to measure HAP or VOC concentration. For purposes of calculating the efficiency of the individual carbon adsorber vessel, the value of Q</w:t>
      </w:r>
      <w:r w:rsidRPr="00EB486E">
        <w:rPr>
          <w:sz w:val="22"/>
          <w:szCs w:val="22"/>
          <w:vertAlign w:val="subscript"/>
        </w:rPr>
        <w:t>gv</w:t>
      </w:r>
      <w:r w:rsidRPr="00EB486E">
        <w:rPr>
          <w:sz w:val="22"/>
          <w:szCs w:val="22"/>
        </w:rPr>
        <w:t xml:space="preserve"> can be assumed to equal the value of Q</w:t>
      </w:r>
      <w:r w:rsidRPr="00EB486E">
        <w:rPr>
          <w:sz w:val="22"/>
          <w:szCs w:val="22"/>
          <w:vertAlign w:val="subscript"/>
        </w:rPr>
        <w:t>hv</w:t>
      </w:r>
      <w:r w:rsidRPr="00EB486E">
        <w:rPr>
          <w:sz w:val="22"/>
          <w:szCs w:val="22"/>
        </w:rPr>
        <w:t xml:space="preserve"> measured for that carbon adsorber vessel. </w:t>
      </w:r>
    </w:p>
    <w:p w:rsidR="00EB486E" w:rsidRPr="00EB486E" w:rsidRDefault="00EB486E" w:rsidP="00EB486E">
      <w:pPr>
        <w:pStyle w:val="NormalWeb"/>
        <w:rPr>
          <w:sz w:val="22"/>
          <w:szCs w:val="22"/>
        </w:rPr>
      </w:pPr>
      <w:r w:rsidRPr="00EB486E">
        <w:rPr>
          <w:sz w:val="22"/>
          <w:szCs w:val="22"/>
        </w:rPr>
        <w:t>(20) Q</w:t>
      </w:r>
      <w:r w:rsidRPr="00EB486E">
        <w:rPr>
          <w:sz w:val="22"/>
          <w:szCs w:val="22"/>
          <w:vertAlign w:val="subscript"/>
        </w:rPr>
        <w:t>hv</w:t>
      </w:r>
      <w:r w:rsidRPr="00EB486E">
        <w:rPr>
          <w:sz w:val="22"/>
          <w:szCs w:val="22"/>
        </w:rPr>
        <w:t xml:space="preserve"> = the volumetric flow rate of each gas stream exiting each individual carbon adsorber vessel (v) in either dry standard cubic meters per hour when EPA Method 18 is used to measure HAP or VOC concentration or in standard cubic meters per hour (wet basis) when EPA Method 25A is used to measure HAP or VOC concentration. </w:t>
      </w:r>
    </w:p>
    <w:p w:rsidR="00EB486E" w:rsidRPr="00EB486E" w:rsidRDefault="00EB486E" w:rsidP="00EB486E">
      <w:pPr>
        <w:pStyle w:val="NormalWeb"/>
        <w:rPr>
          <w:sz w:val="22"/>
          <w:szCs w:val="22"/>
        </w:rPr>
      </w:pPr>
      <w:r w:rsidRPr="00EB486E">
        <w:rPr>
          <w:sz w:val="22"/>
          <w:szCs w:val="22"/>
        </w:rPr>
        <w:t>(21) Q</w:t>
      </w:r>
      <w:r w:rsidRPr="00EB486E">
        <w:rPr>
          <w:sz w:val="22"/>
          <w:szCs w:val="22"/>
          <w:vertAlign w:val="subscript"/>
        </w:rPr>
        <w:t>ini</w:t>
      </w:r>
      <w:r w:rsidRPr="00EB486E">
        <w:rPr>
          <w:sz w:val="22"/>
          <w:szCs w:val="22"/>
        </w:rPr>
        <w:t xml:space="preserve"> = the volumetric flow rate of each gas stream (i) entering the total enclosure through a forced makeup air duct in standard cubic meters per hour (wet basis). </w:t>
      </w:r>
    </w:p>
    <w:p w:rsidR="00EB486E" w:rsidRPr="00EB486E" w:rsidRDefault="00EB486E" w:rsidP="00EB486E">
      <w:pPr>
        <w:pStyle w:val="NormalWeb"/>
        <w:rPr>
          <w:sz w:val="22"/>
          <w:szCs w:val="22"/>
        </w:rPr>
      </w:pPr>
      <w:r w:rsidRPr="00EB486E">
        <w:rPr>
          <w:sz w:val="22"/>
          <w:szCs w:val="22"/>
        </w:rPr>
        <w:t>(22) Q</w:t>
      </w:r>
      <w:r w:rsidRPr="00EB486E">
        <w:rPr>
          <w:sz w:val="22"/>
          <w:szCs w:val="22"/>
          <w:vertAlign w:val="subscript"/>
        </w:rPr>
        <w:t>outj</w:t>
      </w:r>
      <w:r w:rsidRPr="00EB486E">
        <w:rPr>
          <w:sz w:val="22"/>
          <w:szCs w:val="22"/>
        </w:rPr>
        <w:t xml:space="preserve"> = the volumetric flow rate of each gas stream (j) exiting the total enclosure through an exhaust duct or hood in standard cubic meters per hour (wet basis). </w:t>
      </w:r>
    </w:p>
    <w:p w:rsidR="00EB486E" w:rsidRPr="00EB486E" w:rsidRDefault="00EB486E" w:rsidP="00EB486E">
      <w:pPr>
        <w:pStyle w:val="NormalWeb"/>
        <w:rPr>
          <w:sz w:val="22"/>
          <w:szCs w:val="22"/>
        </w:rPr>
      </w:pPr>
      <w:r w:rsidRPr="00EB486E">
        <w:rPr>
          <w:sz w:val="22"/>
          <w:szCs w:val="22"/>
        </w:rPr>
        <w:t xml:space="preserve">(23) R = the overall HAP or VOC emission reduction achieved for the duration of the emission test (expressed as a percentage). </w:t>
      </w:r>
    </w:p>
    <w:p w:rsidR="00EB486E" w:rsidRPr="00EB486E" w:rsidRDefault="00EB486E" w:rsidP="00EB486E">
      <w:pPr>
        <w:pStyle w:val="NormalWeb"/>
        <w:rPr>
          <w:sz w:val="22"/>
          <w:szCs w:val="22"/>
        </w:rPr>
      </w:pPr>
      <w:r w:rsidRPr="00EB486E">
        <w:rPr>
          <w:sz w:val="22"/>
          <w:szCs w:val="22"/>
        </w:rPr>
        <w:t>(24) RS</w:t>
      </w:r>
      <w:r w:rsidRPr="00EB486E">
        <w:rPr>
          <w:sz w:val="22"/>
          <w:szCs w:val="22"/>
          <w:vertAlign w:val="subscript"/>
        </w:rPr>
        <w:t>i</w:t>
      </w:r>
      <w:r w:rsidRPr="00EB486E">
        <w:rPr>
          <w:sz w:val="22"/>
          <w:szCs w:val="22"/>
        </w:rPr>
        <w:t xml:space="preserve"> = the total mass in kilograms of HAP or VOC retained in the coating after drying. </w:t>
      </w:r>
    </w:p>
    <w:p w:rsidR="00EB486E" w:rsidRPr="00EB486E" w:rsidRDefault="00EB486E" w:rsidP="00EB486E">
      <w:pPr>
        <w:pStyle w:val="NormalWeb"/>
        <w:rPr>
          <w:sz w:val="22"/>
          <w:szCs w:val="22"/>
        </w:rPr>
      </w:pPr>
      <w:r w:rsidRPr="00EB486E">
        <w:rPr>
          <w:sz w:val="22"/>
          <w:szCs w:val="22"/>
        </w:rPr>
        <w:t>(25) W</w:t>
      </w:r>
      <w:r w:rsidRPr="00EB486E">
        <w:rPr>
          <w:sz w:val="22"/>
          <w:szCs w:val="22"/>
          <w:vertAlign w:val="subscript"/>
        </w:rPr>
        <w:t>oi</w:t>
      </w:r>
      <w:r w:rsidRPr="00EB486E">
        <w:rPr>
          <w:sz w:val="22"/>
          <w:szCs w:val="22"/>
        </w:rPr>
        <w:t xml:space="preserve"> = the weight fraction of VOC in each batch of coating (i) applied, or of each coating applied at an affected coating operation during a 7- to 30-day period, as appropriate, as determined by EPA Method 24 or formulation data. This value shall be determined at a time and location in the process after all ingredients (including any dilution solvent) have been added to the coating, or if ingredients are added after the weight </w:t>
      </w:r>
      <w:r w:rsidRPr="00EB486E">
        <w:rPr>
          <w:sz w:val="22"/>
          <w:szCs w:val="22"/>
        </w:rPr>
        <w:lastRenderedPageBreak/>
        <w:t xml:space="preserve">fraction of HAP or VOC in the coating has been determined, appropriate adjustments shall be made to account for them. </w:t>
      </w:r>
    </w:p>
    <w:p w:rsidR="00EB486E" w:rsidRPr="00EB486E" w:rsidRDefault="00EB486E" w:rsidP="00EB486E">
      <w:pPr>
        <w:pStyle w:val="cita"/>
        <w:rPr>
          <w:sz w:val="22"/>
          <w:szCs w:val="22"/>
        </w:rPr>
      </w:pPr>
      <w:r w:rsidRPr="00EB486E">
        <w:rPr>
          <w:sz w:val="22"/>
          <w:szCs w:val="22"/>
        </w:rPr>
        <w:t>[60 FR 45956, Sept. 1, 1995, as amended at 63 FR 15017, Mar. 27, 1998; 63 FR 46533, Sept. 1, 1998; 65 FR 76945, Dec. 8, 2000; 80 FR 76179, Dec. 7, 2015]</w:t>
      </w:r>
    </w:p>
    <w:p w:rsidR="00EB486E" w:rsidRPr="00EB486E" w:rsidRDefault="00EB486E" w:rsidP="00EB486E">
      <w:pPr>
        <w:pStyle w:val="Heading2"/>
        <w:rPr>
          <w:rFonts w:ascii="Times New Roman" w:hAnsi="Times New Roman" w:cs="Times New Roman"/>
          <w:sz w:val="22"/>
          <w:szCs w:val="22"/>
        </w:rPr>
      </w:pPr>
      <w:bookmarkStart w:id="30" w:name="se40.12.63_1743"/>
      <w:bookmarkEnd w:id="30"/>
      <w:r w:rsidRPr="00EB486E">
        <w:rPr>
          <w:rFonts w:ascii="Times New Roman" w:hAnsi="Times New Roman" w:cs="Times New Roman"/>
          <w:sz w:val="22"/>
          <w:szCs w:val="22"/>
        </w:rPr>
        <w:t>§63.743   Standards: General.</w:t>
      </w:r>
    </w:p>
    <w:p w:rsidR="00EB486E" w:rsidRPr="00EB486E" w:rsidRDefault="00EB486E" w:rsidP="00EB486E">
      <w:pPr>
        <w:pStyle w:val="NormalWeb"/>
        <w:rPr>
          <w:sz w:val="22"/>
          <w:szCs w:val="22"/>
        </w:rPr>
      </w:pPr>
      <w:r w:rsidRPr="00EB486E">
        <w:rPr>
          <w:sz w:val="22"/>
          <w:szCs w:val="22"/>
        </w:rPr>
        <w:t>(a) Except as provided in paragraphs (a)(4) through (a</w:t>
      </w:r>
      <w:proofErr w:type="gramStart"/>
      <w:r w:rsidRPr="00EB486E">
        <w:rPr>
          <w:sz w:val="22"/>
          <w:szCs w:val="22"/>
        </w:rPr>
        <w:t>)(</w:t>
      </w:r>
      <w:proofErr w:type="gramEnd"/>
      <w:r w:rsidRPr="00EB486E">
        <w:rPr>
          <w:sz w:val="22"/>
          <w:szCs w:val="22"/>
        </w:rPr>
        <w:t>10) of this section and in Table 1 of this subpart, each owner or operator of an affected source subject to this subpart is also subject to the following sections of subpart A of this part:</w:t>
      </w:r>
    </w:p>
    <w:p w:rsidR="00EB486E" w:rsidRPr="00EB486E" w:rsidRDefault="00EB486E" w:rsidP="00EB486E">
      <w:pPr>
        <w:pStyle w:val="NormalWeb"/>
        <w:rPr>
          <w:sz w:val="22"/>
          <w:szCs w:val="22"/>
        </w:rPr>
      </w:pPr>
      <w:r w:rsidRPr="00EB486E">
        <w:rPr>
          <w:sz w:val="22"/>
          <w:szCs w:val="22"/>
        </w:rPr>
        <w:t xml:space="preserve">(1) §63.4, Prohibited activities and circumvention; </w:t>
      </w:r>
    </w:p>
    <w:p w:rsidR="00EB486E" w:rsidRPr="00EB486E" w:rsidRDefault="00EB486E" w:rsidP="00EB486E">
      <w:pPr>
        <w:pStyle w:val="NormalWeb"/>
        <w:rPr>
          <w:sz w:val="22"/>
          <w:szCs w:val="22"/>
        </w:rPr>
      </w:pPr>
      <w:r w:rsidRPr="00EB486E">
        <w:rPr>
          <w:sz w:val="22"/>
          <w:szCs w:val="22"/>
        </w:rPr>
        <w:t>(2) §63.5, Preconstruction review and notification requirements; and</w:t>
      </w:r>
    </w:p>
    <w:p w:rsidR="00EB486E" w:rsidRPr="00EB486E" w:rsidRDefault="00EB486E" w:rsidP="00EB486E">
      <w:pPr>
        <w:pStyle w:val="NormalWeb"/>
        <w:rPr>
          <w:sz w:val="22"/>
          <w:szCs w:val="22"/>
        </w:rPr>
      </w:pPr>
      <w:r w:rsidRPr="00EB486E">
        <w:rPr>
          <w:sz w:val="22"/>
          <w:szCs w:val="22"/>
        </w:rPr>
        <w:t xml:space="preserve">(3) §63.6, Compliance with standards and maintenance requirements. </w:t>
      </w:r>
    </w:p>
    <w:p w:rsidR="00EB486E" w:rsidRPr="00EB486E" w:rsidRDefault="00EB486E" w:rsidP="00EB486E">
      <w:pPr>
        <w:pStyle w:val="NormalWeb"/>
        <w:rPr>
          <w:sz w:val="22"/>
          <w:szCs w:val="22"/>
        </w:rPr>
      </w:pPr>
      <w:r w:rsidRPr="00EB486E">
        <w:rPr>
          <w:sz w:val="22"/>
          <w:szCs w:val="22"/>
        </w:rPr>
        <w:t xml:space="preserve">(4) For the purposes of this subpart, all affected sources shall submit any request for an extension of compliance not later than 120 days before the affected source's compliance date. The extension request should be requested for the shortest time necessary to attain compliance, but in no </w:t>
      </w:r>
      <w:proofErr w:type="gramStart"/>
      <w:r w:rsidRPr="00EB486E">
        <w:rPr>
          <w:sz w:val="22"/>
          <w:szCs w:val="22"/>
        </w:rPr>
        <w:t>case</w:t>
      </w:r>
      <w:proofErr w:type="gramEnd"/>
      <w:r w:rsidRPr="00EB486E">
        <w:rPr>
          <w:sz w:val="22"/>
          <w:szCs w:val="22"/>
        </w:rPr>
        <w:t xml:space="preserve"> shall exceed 1 year. </w:t>
      </w:r>
    </w:p>
    <w:p w:rsidR="00EB486E" w:rsidRPr="00EB486E" w:rsidRDefault="00EB486E" w:rsidP="00EB486E">
      <w:pPr>
        <w:pStyle w:val="NormalWeb"/>
        <w:rPr>
          <w:sz w:val="22"/>
          <w:szCs w:val="22"/>
        </w:rPr>
      </w:pPr>
      <w:r w:rsidRPr="00EB486E">
        <w:rPr>
          <w:sz w:val="22"/>
          <w:szCs w:val="22"/>
        </w:rPr>
        <w:t xml:space="preserve">(5)(i) For the purposes of this subpart, the Administrator (or the State with an approved permit program) will notify the owner or operator in writing of his/her intention to deny approval of a request for an extension of compliance submitted under either §63.6(i)(4) or §63.6(i)(5) within 60 calendar days after receipt of sufficient information to evaluate the request. </w:t>
      </w:r>
    </w:p>
    <w:p w:rsidR="00EB486E" w:rsidRPr="00EB486E" w:rsidRDefault="00EB486E" w:rsidP="00EB486E">
      <w:pPr>
        <w:pStyle w:val="NormalWeb"/>
        <w:rPr>
          <w:sz w:val="22"/>
          <w:szCs w:val="22"/>
        </w:rPr>
      </w:pPr>
      <w:r w:rsidRPr="00EB486E">
        <w:rPr>
          <w:sz w:val="22"/>
          <w:szCs w:val="22"/>
        </w:rPr>
        <w:t xml:space="preserve">(ii) In addition, for purposes of this subpart, if the Administrator does not notify the owner or operator in writing of his/her intention to deny approval within 60 calendar days after receipt of sufficient information to evaluate a request for an extension of compliance, then the request shall be considered approved. </w:t>
      </w:r>
    </w:p>
    <w:p w:rsidR="00EB486E" w:rsidRPr="00EB486E" w:rsidRDefault="00EB486E" w:rsidP="00EB486E">
      <w:pPr>
        <w:pStyle w:val="NormalWeb"/>
        <w:rPr>
          <w:sz w:val="22"/>
          <w:szCs w:val="22"/>
        </w:rPr>
      </w:pPr>
      <w:r w:rsidRPr="00EB486E">
        <w:rPr>
          <w:sz w:val="22"/>
          <w:szCs w:val="22"/>
        </w:rPr>
        <w:t xml:space="preserve">(6)(i) For the purposes of this subpart, the Administrator (or the State) will notify the owner or operator in writing of the status of his/her application submitted under §63.6(i)(4)(ii) (that is, whether the application contains sufficient information to make a determination) within 30 calendar days after receipt of the original application and within 30 calendar days after receipt of any supplementary information that is submitted, rather than 15 calendar days as provided for in §63.6(i)(13)(i). </w:t>
      </w:r>
    </w:p>
    <w:p w:rsidR="00EB486E" w:rsidRPr="00EB486E" w:rsidRDefault="00EB486E" w:rsidP="00EB486E">
      <w:pPr>
        <w:pStyle w:val="NormalWeb"/>
        <w:rPr>
          <w:sz w:val="22"/>
          <w:szCs w:val="22"/>
        </w:rPr>
      </w:pPr>
      <w:r w:rsidRPr="00EB486E">
        <w:rPr>
          <w:sz w:val="22"/>
          <w:szCs w:val="22"/>
        </w:rPr>
        <w:t xml:space="preserve">(ii) In addition, for the purposes of this subpart, if the Administrator does not notify the owner or operator in writing of the status of his/her application within 30 calendar days after receipt of the original application and within 30 calendar days after receipt of any supplementary information that is submitted, then the information in the application or the supplementary information is to be considered sufficient upon which to </w:t>
      </w:r>
      <w:proofErr w:type="gramStart"/>
      <w:r w:rsidRPr="00EB486E">
        <w:rPr>
          <w:sz w:val="22"/>
          <w:szCs w:val="22"/>
        </w:rPr>
        <w:t>make a determination</w:t>
      </w:r>
      <w:proofErr w:type="gramEnd"/>
      <w:r w:rsidRPr="00EB486E">
        <w:rPr>
          <w:sz w:val="22"/>
          <w:szCs w:val="22"/>
        </w:rPr>
        <w:t xml:space="preserve">. </w:t>
      </w:r>
    </w:p>
    <w:p w:rsidR="00EB486E" w:rsidRPr="00EB486E" w:rsidRDefault="00EB486E" w:rsidP="00EB486E">
      <w:pPr>
        <w:pStyle w:val="NormalWeb"/>
        <w:rPr>
          <w:sz w:val="22"/>
          <w:szCs w:val="22"/>
        </w:rPr>
      </w:pPr>
      <w:r w:rsidRPr="00EB486E">
        <w:rPr>
          <w:sz w:val="22"/>
          <w:szCs w:val="22"/>
        </w:rPr>
        <w:t>(7) For the purposes of this subpart, each owner or operator who has submitted an extension request application under §63.6(i)(5) is to be provided 30 calendar days to present additional information or arguments to the Administrator after he/she is notified that the application is not complete, rather than 15 calendar days as provided for in §63.6(i)(</w:t>
      </w:r>
      <w:proofErr w:type="gramStart"/>
      <w:r w:rsidRPr="00EB486E">
        <w:rPr>
          <w:sz w:val="22"/>
          <w:szCs w:val="22"/>
        </w:rPr>
        <w:t>13)(</w:t>
      </w:r>
      <w:proofErr w:type="gramEnd"/>
      <w:r w:rsidRPr="00EB486E">
        <w:rPr>
          <w:sz w:val="22"/>
          <w:szCs w:val="22"/>
        </w:rPr>
        <w:t xml:space="preserve">ii). </w:t>
      </w:r>
    </w:p>
    <w:p w:rsidR="00EB486E" w:rsidRPr="00EB486E" w:rsidRDefault="00EB486E" w:rsidP="00EB486E">
      <w:pPr>
        <w:pStyle w:val="NormalWeb"/>
        <w:rPr>
          <w:sz w:val="22"/>
          <w:szCs w:val="22"/>
        </w:rPr>
      </w:pPr>
      <w:r w:rsidRPr="00EB486E">
        <w:rPr>
          <w:sz w:val="22"/>
          <w:szCs w:val="22"/>
        </w:rPr>
        <w:lastRenderedPageBreak/>
        <w:t>(8) For the purposes of this subpart, each owner or operator is to be provided 30 calendar days to present additional information to the Administrator after he/she is notified of the intended denial of a compliance extension request submitted under either §63.6(i)(4) or §63.6(i)(5), rather than 15 calendar days as provided for in §63.6(i)(</w:t>
      </w:r>
      <w:proofErr w:type="gramStart"/>
      <w:r w:rsidRPr="00EB486E">
        <w:rPr>
          <w:sz w:val="22"/>
          <w:szCs w:val="22"/>
        </w:rPr>
        <w:t>12)(</w:t>
      </w:r>
      <w:proofErr w:type="gramEnd"/>
      <w:r w:rsidRPr="00EB486E">
        <w:rPr>
          <w:sz w:val="22"/>
          <w:szCs w:val="22"/>
        </w:rPr>
        <w:t>iii)(B) and §63.6(i)(13)(iii)(B).</w:t>
      </w:r>
    </w:p>
    <w:p w:rsidR="00EB486E" w:rsidRPr="00EB486E" w:rsidRDefault="00EB486E" w:rsidP="00EB486E">
      <w:pPr>
        <w:pStyle w:val="NormalWeb"/>
        <w:rPr>
          <w:sz w:val="22"/>
          <w:szCs w:val="22"/>
        </w:rPr>
      </w:pPr>
      <w:r w:rsidRPr="00EB486E">
        <w:rPr>
          <w:sz w:val="22"/>
          <w:szCs w:val="22"/>
        </w:rPr>
        <w:t>(9) For the purposes of this subpart, a final determination to deny any request for an extension submitted under either §63.6(i)(4) or §63.6(i)(5) will be made within 60 calendar days after presentation of additional information or argument (if the application is complete), or within 60 calendar days after the final date specified for the presentation if no presentation is made, rather than 30 calendar days as provided for in §63.6(i)(</w:t>
      </w:r>
      <w:proofErr w:type="gramStart"/>
      <w:r w:rsidRPr="00EB486E">
        <w:rPr>
          <w:sz w:val="22"/>
          <w:szCs w:val="22"/>
        </w:rPr>
        <w:t>12)(</w:t>
      </w:r>
      <w:proofErr w:type="gramEnd"/>
      <w:r w:rsidRPr="00EB486E">
        <w:rPr>
          <w:sz w:val="22"/>
          <w:szCs w:val="22"/>
        </w:rPr>
        <w:t xml:space="preserve">iv) and §63.6(i)(13)(iv). </w:t>
      </w:r>
    </w:p>
    <w:p w:rsidR="00EB486E" w:rsidRPr="00EB486E" w:rsidRDefault="00EB486E" w:rsidP="00EB486E">
      <w:pPr>
        <w:pStyle w:val="NormalWeb"/>
        <w:rPr>
          <w:sz w:val="22"/>
          <w:szCs w:val="22"/>
        </w:rPr>
      </w:pPr>
      <w:r w:rsidRPr="00EB486E">
        <w:rPr>
          <w:sz w:val="22"/>
          <w:szCs w:val="22"/>
        </w:rPr>
        <w:t>(10) For the purposes of compliance with the requirements of §63.5(b)(4) of the General Provisions and this subpart, owners or operators of existing primer, topcoat, or specialty coating application operations and depainting operations who construct or reconstruct a spray booth or hangar that does not have the potential to emit 10 tons/yr or more of an individual inorganic HAP or 25 tons/yr or more of all inorganic HAP combined shall only be required to notify the Administrator of such construction or reconstruction on an annual basis. Notification shall be submitted on or before March 1 of each year and shall include the information required in §63.5(b)(4) for each such spray booth or hangar constructed or reconstructed during the prior calendar year, except that such information shall be limited to inorganic HAP. No advance notification or written approval from the Administrator pursuant to §63.5(b)(3) shall be required for the construction or reconstruction of such a spray booth or hangar unless the booth or hangar has the potential to emit 10 tons/yr or more of an individual inorganic HAP or 25 tons/yr or more of all inorganic HAP combined.</w:t>
      </w:r>
    </w:p>
    <w:p w:rsidR="00EB486E" w:rsidRPr="00EB486E" w:rsidRDefault="00EB486E" w:rsidP="00EB486E">
      <w:pPr>
        <w:pStyle w:val="NormalWeb"/>
        <w:rPr>
          <w:sz w:val="22"/>
          <w:szCs w:val="22"/>
        </w:rPr>
      </w:pPr>
      <w:r w:rsidRPr="00EB486E">
        <w:rPr>
          <w:sz w:val="22"/>
          <w:szCs w:val="22"/>
        </w:rPr>
        <w:t>(b) [Reserved]</w:t>
      </w:r>
    </w:p>
    <w:p w:rsidR="00EB486E" w:rsidRPr="00EB486E" w:rsidRDefault="00EB486E" w:rsidP="00EB486E">
      <w:pPr>
        <w:pStyle w:val="NormalWeb"/>
        <w:rPr>
          <w:sz w:val="22"/>
          <w:szCs w:val="22"/>
        </w:rPr>
      </w:pPr>
      <w:r w:rsidRPr="00EB486E">
        <w:rPr>
          <w:sz w:val="22"/>
          <w:szCs w:val="22"/>
        </w:rPr>
        <w:t>(c) An owner or operator who uses an air pollution control device or equipment not listed in this subpart shall submit a description of the device or equipment, test data verifying the performance of the device or equipment in controlling organic HAP and/or VOC emissions, as appropriate, and specific operating parameters that will be monitored to establish compliance with the standards to the Administrator for approval not later than 120 days prior to the compliance date.</w:t>
      </w:r>
    </w:p>
    <w:p w:rsidR="00EB486E" w:rsidRPr="00EB486E" w:rsidRDefault="00EB486E" w:rsidP="00EB486E">
      <w:pPr>
        <w:pStyle w:val="NormalWeb"/>
        <w:rPr>
          <w:sz w:val="22"/>
          <w:szCs w:val="22"/>
        </w:rPr>
      </w:pPr>
      <w:r w:rsidRPr="00EB486E">
        <w:rPr>
          <w:sz w:val="22"/>
          <w:szCs w:val="22"/>
        </w:rPr>
        <w:t>(d) Instead of complying with the individual coating limits in §§63.745 and 63.747, a facility may choose to comply with the averaging provisions specified in paragraphs (d)(1) through (d)(6) of this section.</w:t>
      </w:r>
    </w:p>
    <w:p w:rsidR="00EB486E" w:rsidRPr="00EB486E" w:rsidRDefault="00EB486E" w:rsidP="00EB486E">
      <w:pPr>
        <w:pStyle w:val="NormalWeb"/>
        <w:rPr>
          <w:sz w:val="22"/>
          <w:szCs w:val="22"/>
        </w:rPr>
      </w:pPr>
      <w:r w:rsidRPr="00EB486E">
        <w:rPr>
          <w:sz w:val="22"/>
          <w:szCs w:val="22"/>
        </w:rPr>
        <w:t>(1) Each owner or operator of a new or existing source shall use any combination of primers, topcoats (including self-priming topcoats), specialty coatings, Type I chemical milling maskants, or Type II chemical milling maskants such that the monthly volume-weighted average organic HAP and VOC contents of the combination of primers, topcoats, specialty coatings, Type I chemical milling maskants, or Type II chemical milling maskants, as determined in accordance with the applicable procedures set forth in §63.750, complies with the specified content limits in §§63.745(c) and 63.747(c), unless the permitting agency specifies a shorter averaging period as part of an ambient ozone control program.</w:t>
      </w:r>
    </w:p>
    <w:p w:rsidR="00EB486E" w:rsidRPr="00EB486E" w:rsidRDefault="00EB486E" w:rsidP="00EB486E">
      <w:pPr>
        <w:pStyle w:val="NormalWeb"/>
        <w:rPr>
          <w:sz w:val="22"/>
          <w:szCs w:val="22"/>
        </w:rPr>
      </w:pPr>
      <w:r w:rsidRPr="00EB486E">
        <w:rPr>
          <w:sz w:val="22"/>
          <w:szCs w:val="22"/>
        </w:rPr>
        <w:t>(2) Averaging is allowed only for uncontrolled primers, topcoats (including self-priming topcoats), specialty coatings, Type I chemical milling maskants, or Type II chemical milling maskants.</w:t>
      </w:r>
    </w:p>
    <w:p w:rsidR="00EB486E" w:rsidRPr="00EB486E" w:rsidRDefault="00EB486E" w:rsidP="00EB486E">
      <w:pPr>
        <w:pStyle w:val="NormalWeb"/>
        <w:rPr>
          <w:sz w:val="22"/>
          <w:szCs w:val="22"/>
        </w:rPr>
      </w:pPr>
      <w:r w:rsidRPr="00EB486E">
        <w:rPr>
          <w:sz w:val="22"/>
          <w:szCs w:val="22"/>
        </w:rPr>
        <w:t>(3) Averaging is not allowed between specialty coating types defined in appendix A to this subpart, or between the different types of coatings specified in paragraphs (d)(3)(i) through (vii) of this section.</w:t>
      </w:r>
    </w:p>
    <w:p w:rsidR="00EB486E" w:rsidRPr="00EB486E" w:rsidRDefault="00EB486E" w:rsidP="00EB486E">
      <w:pPr>
        <w:pStyle w:val="NormalWeb"/>
        <w:rPr>
          <w:sz w:val="22"/>
          <w:szCs w:val="22"/>
        </w:rPr>
      </w:pPr>
      <w:r w:rsidRPr="00EB486E">
        <w:rPr>
          <w:sz w:val="22"/>
          <w:szCs w:val="22"/>
        </w:rPr>
        <w:lastRenderedPageBreak/>
        <w:t>(i) Primers and topcoats (including self-priming topcoats).</w:t>
      </w:r>
    </w:p>
    <w:p w:rsidR="00EB486E" w:rsidRPr="00EB486E" w:rsidRDefault="00EB486E" w:rsidP="00EB486E">
      <w:pPr>
        <w:pStyle w:val="NormalWeb"/>
        <w:rPr>
          <w:sz w:val="22"/>
          <w:szCs w:val="22"/>
        </w:rPr>
      </w:pPr>
      <w:r w:rsidRPr="00EB486E">
        <w:rPr>
          <w:sz w:val="22"/>
          <w:szCs w:val="22"/>
        </w:rPr>
        <w:t>(ii) Type I and Type II chemical milling maskants.</w:t>
      </w:r>
    </w:p>
    <w:p w:rsidR="00EB486E" w:rsidRPr="00EB486E" w:rsidRDefault="00EB486E" w:rsidP="00EB486E">
      <w:pPr>
        <w:pStyle w:val="NormalWeb"/>
        <w:rPr>
          <w:sz w:val="22"/>
          <w:szCs w:val="22"/>
        </w:rPr>
      </w:pPr>
      <w:r w:rsidRPr="00EB486E">
        <w:rPr>
          <w:sz w:val="22"/>
          <w:szCs w:val="22"/>
        </w:rPr>
        <w:t>(iii) Primers and chemical milling maskants.</w:t>
      </w:r>
    </w:p>
    <w:p w:rsidR="00EB486E" w:rsidRPr="00EB486E" w:rsidRDefault="00EB486E" w:rsidP="00EB486E">
      <w:pPr>
        <w:pStyle w:val="NormalWeb"/>
        <w:rPr>
          <w:sz w:val="22"/>
          <w:szCs w:val="22"/>
        </w:rPr>
      </w:pPr>
      <w:r w:rsidRPr="00EB486E">
        <w:rPr>
          <w:sz w:val="22"/>
          <w:szCs w:val="22"/>
        </w:rPr>
        <w:t>(iv) Topcoats and chemical milling maskants.</w:t>
      </w:r>
    </w:p>
    <w:p w:rsidR="00EB486E" w:rsidRPr="00EB486E" w:rsidRDefault="00EB486E" w:rsidP="00EB486E">
      <w:pPr>
        <w:pStyle w:val="NormalWeb"/>
        <w:rPr>
          <w:sz w:val="22"/>
          <w:szCs w:val="22"/>
        </w:rPr>
      </w:pPr>
      <w:r w:rsidRPr="00EB486E">
        <w:rPr>
          <w:sz w:val="22"/>
          <w:szCs w:val="22"/>
        </w:rPr>
        <w:t>(v) Primers and specialty coatings.</w:t>
      </w:r>
    </w:p>
    <w:p w:rsidR="00EB486E" w:rsidRPr="00EB486E" w:rsidRDefault="00EB486E" w:rsidP="00EB486E">
      <w:pPr>
        <w:pStyle w:val="NormalWeb"/>
        <w:rPr>
          <w:sz w:val="22"/>
          <w:szCs w:val="22"/>
        </w:rPr>
      </w:pPr>
      <w:r w:rsidRPr="00EB486E">
        <w:rPr>
          <w:sz w:val="22"/>
          <w:szCs w:val="22"/>
        </w:rPr>
        <w:t>(vi) Topcoats and specialty coatings.</w:t>
      </w:r>
    </w:p>
    <w:p w:rsidR="00EB486E" w:rsidRPr="00EB486E" w:rsidRDefault="00EB486E" w:rsidP="00EB486E">
      <w:pPr>
        <w:pStyle w:val="NormalWeb"/>
        <w:rPr>
          <w:sz w:val="22"/>
          <w:szCs w:val="22"/>
        </w:rPr>
      </w:pPr>
      <w:r w:rsidRPr="00EB486E">
        <w:rPr>
          <w:sz w:val="22"/>
          <w:szCs w:val="22"/>
        </w:rPr>
        <w:t>(vii) Chemical milling maskants and specialty coatings.</w:t>
      </w:r>
    </w:p>
    <w:p w:rsidR="00EB486E" w:rsidRPr="00EB486E" w:rsidRDefault="00EB486E" w:rsidP="00EB486E">
      <w:pPr>
        <w:pStyle w:val="NormalWeb"/>
        <w:rPr>
          <w:sz w:val="22"/>
          <w:szCs w:val="22"/>
        </w:rPr>
      </w:pPr>
      <w:r w:rsidRPr="00EB486E">
        <w:rPr>
          <w:sz w:val="22"/>
          <w:szCs w:val="22"/>
        </w:rPr>
        <w:t>(4)</w:t>
      </w:r>
      <w:proofErr w:type="gramStart"/>
      <w:r w:rsidRPr="00EB486E">
        <w:rPr>
          <w:sz w:val="22"/>
          <w:szCs w:val="22"/>
        </w:rPr>
        <w:t>—(</w:t>
      </w:r>
      <w:proofErr w:type="gramEnd"/>
      <w:r w:rsidRPr="00EB486E">
        <w:rPr>
          <w:sz w:val="22"/>
          <w:szCs w:val="22"/>
        </w:rPr>
        <w:t>5) [Reserved]</w:t>
      </w:r>
    </w:p>
    <w:p w:rsidR="00EB486E" w:rsidRPr="00EB486E" w:rsidRDefault="00EB486E" w:rsidP="00EB486E">
      <w:pPr>
        <w:pStyle w:val="NormalWeb"/>
        <w:rPr>
          <w:sz w:val="22"/>
          <w:szCs w:val="22"/>
        </w:rPr>
      </w:pPr>
      <w:r w:rsidRPr="00EB486E">
        <w:rPr>
          <w:sz w:val="22"/>
          <w:szCs w:val="22"/>
        </w:rPr>
        <w:t>(6) Each averaging scheme shall be approved in advance by the permitting agency and adopted as part of the facility's title V permit.</w:t>
      </w:r>
    </w:p>
    <w:p w:rsidR="00EB486E" w:rsidRPr="00EB486E" w:rsidRDefault="00EB486E" w:rsidP="00EB486E">
      <w:pPr>
        <w:pStyle w:val="NormalWeb"/>
        <w:rPr>
          <w:sz w:val="22"/>
          <w:szCs w:val="22"/>
        </w:rPr>
      </w:pPr>
      <w:r w:rsidRPr="00EB486E">
        <w:rPr>
          <w:sz w:val="22"/>
          <w:szCs w:val="22"/>
        </w:rPr>
        <w:t>(e) At all times, the owner or operator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the owner or operator to make any further efforts to reduce emissions if levels required by the applicable standard have been achieved. Determination of whether a source is operating in compliance with operation and maintenance requirements will be based on information available to the Administrator which may include, but is not limited to, monitoring results, review of operation and maintenance procedures, review of operation and maintenance records, and inspection of the source.</w:t>
      </w:r>
    </w:p>
    <w:p w:rsidR="00EB486E" w:rsidRPr="00EB486E" w:rsidRDefault="00EB486E" w:rsidP="00EB486E">
      <w:pPr>
        <w:pStyle w:val="cita"/>
        <w:rPr>
          <w:sz w:val="22"/>
          <w:szCs w:val="22"/>
        </w:rPr>
      </w:pPr>
      <w:r w:rsidRPr="00EB486E">
        <w:rPr>
          <w:sz w:val="22"/>
          <w:szCs w:val="22"/>
        </w:rPr>
        <w:t>[60 FR 45956, Sept. 1, 1996, as amended at 63 FR 15017, Mar. 27, 1998; 71 FR 20457, Apr. 20, 2006; 80 FR 76180, Dec. 7, 2015]</w:t>
      </w:r>
    </w:p>
    <w:p w:rsidR="00EB486E" w:rsidRPr="00EB486E" w:rsidRDefault="00EB486E" w:rsidP="00EB486E">
      <w:pPr>
        <w:pStyle w:val="Heading2"/>
        <w:rPr>
          <w:rFonts w:ascii="Times New Roman" w:hAnsi="Times New Roman" w:cs="Times New Roman"/>
          <w:sz w:val="22"/>
          <w:szCs w:val="22"/>
        </w:rPr>
      </w:pPr>
      <w:bookmarkStart w:id="31" w:name="se40.12.63_1744"/>
      <w:bookmarkEnd w:id="31"/>
      <w:r w:rsidRPr="00EB486E">
        <w:rPr>
          <w:rFonts w:ascii="Times New Roman" w:hAnsi="Times New Roman" w:cs="Times New Roman"/>
          <w:sz w:val="22"/>
          <w:szCs w:val="22"/>
        </w:rPr>
        <w:t>§63.744   Standards: Cleaning operations.</w:t>
      </w:r>
    </w:p>
    <w:p w:rsidR="00EB486E" w:rsidRPr="00EB486E" w:rsidRDefault="00EB486E" w:rsidP="00EB486E">
      <w:pPr>
        <w:pStyle w:val="NormalWeb"/>
        <w:rPr>
          <w:sz w:val="22"/>
          <w:szCs w:val="22"/>
        </w:rPr>
      </w:pPr>
      <w:r w:rsidRPr="00EB486E">
        <w:rPr>
          <w:sz w:val="22"/>
          <w:szCs w:val="22"/>
        </w:rPr>
        <w:t xml:space="preserve">(a) </w:t>
      </w:r>
      <w:r w:rsidRPr="00EB486E">
        <w:rPr>
          <w:i/>
          <w:iCs/>
          <w:sz w:val="22"/>
          <w:szCs w:val="22"/>
        </w:rPr>
        <w:t>Housekeeping measures</w:t>
      </w:r>
      <w:r w:rsidRPr="00EB486E">
        <w:rPr>
          <w:sz w:val="22"/>
          <w:szCs w:val="22"/>
        </w:rPr>
        <w:t xml:space="preserve">. Each owner or operator of a new or existing cleaning operation subject to this subpart shall comply with the requirements in paragraphs (a)(1) through (4) of this section unless the cleaning solvent used is identified in Table 1 of this section or </w:t>
      </w:r>
      <w:bookmarkStart w:id="32" w:name="_Hlk483397154"/>
      <w:r w:rsidRPr="00EB486E">
        <w:rPr>
          <w:sz w:val="22"/>
          <w:szCs w:val="22"/>
        </w:rPr>
        <w:t>meets the definition of “Non-HAP material” in 63.742. The requirements of paragraphs (a)(1) through (4) of this section do not apply to spent cleaning solvents, and solvent-laden applicators that are subject to and handled and stored in compliance with 40 CFR parts 262 through 268 (including the air emission control requirements in 40 CFR part 265, subpart CC).</w:t>
      </w:r>
      <w:bookmarkEnd w:id="32"/>
    </w:p>
    <w:p w:rsidR="00EB486E" w:rsidRPr="00EB486E" w:rsidRDefault="00EB486E" w:rsidP="00EB486E">
      <w:pPr>
        <w:pStyle w:val="NormalWeb"/>
        <w:rPr>
          <w:sz w:val="22"/>
          <w:szCs w:val="22"/>
        </w:rPr>
      </w:pPr>
      <w:r w:rsidRPr="00EB486E">
        <w:rPr>
          <w:sz w:val="22"/>
          <w:szCs w:val="22"/>
        </w:rPr>
        <w:t>(1) Unless the owner or operator satisfies the requirements in paragraph (a)(4) of this section,</w:t>
      </w:r>
      <w:bookmarkStart w:id="33" w:name="_Hlk483397225"/>
      <w:r w:rsidRPr="00EB486E">
        <w:rPr>
          <w:sz w:val="22"/>
          <w:szCs w:val="22"/>
        </w:rPr>
        <w:t xml:space="preserve"> place used solvent-laden cloth, paper, or any other absorbent applicators used for cleaning in bags or other closed containers. Ensure that these bags and containers are kept closed </w:t>
      </w:r>
      <w:proofErr w:type="gramStart"/>
      <w:r w:rsidRPr="00EB486E">
        <w:rPr>
          <w:sz w:val="22"/>
          <w:szCs w:val="22"/>
        </w:rPr>
        <w:t>at all times</w:t>
      </w:r>
      <w:proofErr w:type="gramEnd"/>
      <w:r w:rsidRPr="00EB486E">
        <w:rPr>
          <w:sz w:val="22"/>
          <w:szCs w:val="22"/>
        </w:rPr>
        <w:t xml:space="preserve"> except when depositing or removing these materials from the container. Use bags and containers of such design </w:t>
      </w:r>
      <w:proofErr w:type="gramStart"/>
      <w:r w:rsidRPr="00EB486E">
        <w:rPr>
          <w:sz w:val="22"/>
          <w:szCs w:val="22"/>
        </w:rPr>
        <w:t>so as to</w:t>
      </w:r>
      <w:proofErr w:type="gramEnd"/>
      <w:r w:rsidRPr="00EB486E">
        <w:rPr>
          <w:sz w:val="22"/>
          <w:szCs w:val="22"/>
        </w:rPr>
        <w:t xml:space="preserve"> contain the vapors of the cleaning solvent. Cotton-tipped swabs used for very small cleaning operations are exempt from this requirement.</w:t>
      </w:r>
      <w:bookmarkEnd w:id="33"/>
    </w:p>
    <w:p w:rsidR="00EB486E" w:rsidRPr="00EB486E" w:rsidRDefault="00EB486E" w:rsidP="00EB486E">
      <w:pPr>
        <w:pStyle w:val="NormalWeb"/>
        <w:rPr>
          <w:sz w:val="22"/>
          <w:szCs w:val="22"/>
        </w:rPr>
      </w:pPr>
      <w:r w:rsidRPr="00EB486E">
        <w:rPr>
          <w:sz w:val="22"/>
          <w:szCs w:val="22"/>
        </w:rPr>
        <w:lastRenderedPageBreak/>
        <w:t>(2) Unless the owner or operator satisfies the requirements in paragraph (a)(4) of this section, store fresh and spent cleaning solvents, except semi-aqueous solvent cleaners, used in aerospace cleaning operations in closed containers.</w:t>
      </w:r>
    </w:p>
    <w:p w:rsidR="00EB486E" w:rsidRPr="00EB486E" w:rsidRDefault="00EB486E" w:rsidP="00EB486E">
      <w:pPr>
        <w:pStyle w:val="NormalWeb"/>
        <w:rPr>
          <w:sz w:val="22"/>
          <w:szCs w:val="22"/>
        </w:rPr>
      </w:pPr>
      <w:r w:rsidRPr="00EB486E">
        <w:rPr>
          <w:sz w:val="22"/>
          <w:szCs w:val="22"/>
        </w:rPr>
        <w:t>(3) Conduct the handling and transfer of cleaning solvents to or from enclosed systems, vats, waste containers, and other cleaning operation equipment that hold or store fresh or spent cleaning solvents in such a manner that minimizes spills.</w:t>
      </w:r>
    </w:p>
    <w:p w:rsidR="00EB486E" w:rsidRPr="00EB486E" w:rsidRDefault="00EB486E" w:rsidP="00EB486E">
      <w:pPr>
        <w:pStyle w:val="NormalWeb"/>
        <w:rPr>
          <w:sz w:val="22"/>
          <w:szCs w:val="22"/>
        </w:rPr>
      </w:pPr>
      <w:r w:rsidRPr="00EB486E">
        <w:rPr>
          <w:sz w:val="22"/>
          <w:szCs w:val="22"/>
        </w:rPr>
        <w:t>(4) Demonstrate to the Administrator (or delegated State, local, or Tribal authority) that equivalent or better alternative measures are in place compared to the use of closed containers for the solvent-laden materials described in paragraph (a)(1) of this section, or the storage of solvents described in paragraph (a)(2) of this section.</w:t>
      </w:r>
    </w:p>
    <w:p w:rsidR="00EB486E" w:rsidRPr="00EB486E" w:rsidRDefault="00EB486E" w:rsidP="00EB486E">
      <w:pPr>
        <w:pStyle w:val="NormalWeb"/>
        <w:rPr>
          <w:sz w:val="22"/>
          <w:szCs w:val="22"/>
        </w:rPr>
      </w:pPr>
      <w:r w:rsidRPr="00EB486E">
        <w:rPr>
          <w:sz w:val="22"/>
          <w:szCs w:val="22"/>
        </w:rPr>
        <w:t xml:space="preserve">(b) </w:t>
      </w:r>
      <w:r w:rsidRPr="00EB486E">
        <w:rPr>
          <w:i/>
          <w:iCs/>
          <w:sz w:val="22"/>
          <w:szCs w:val="22"/>
        </w:rPr>
        <w:t>Hand-wipe cleaning.</w:t>
      </w:r>
      <w:r w:rsidRPr="00EB486E">
        <w:rPr>
          <w:sz w:val="22"/>
          <w:szCs w:val="22"/>
        </w:rPr>
        <w:t xml:space="preserve"> Each owner or operator of a new or existing </w:t>
      </w:r>
      <w:bookmarkStart w:id="34" w:name="_Hlk483397645"/>
      <w:r w:rsidRPr="00EB486E">
        <w:rPr>
          <w:sz w:val="22"/>
          <w:szCs w:val="22"/>
        </w:rPr>
        <w:t xml:space="preserve">hand-wipe cleaning operation </w:t>
      </w:r>
      <w:bookmarkEnd w:id="34"/>
      <w:r w:rsidRPr="00EB486E">
        <w:rPr>
          <w:sz w:val="22"/>
          <w:szCs w:val="22"/>
        </w:rPr>
        <w:t xml:space="preserve">(excluding cleaning of spray gun equipment performed in accordance with paragraph (c) of this section) subject to this subpart </w:t>
      </w:r>
      <w:bookmarkStart w:id="35" w:name="_Hlk483397679"/>
      <w:r w:rsidRPr="00EB486E">
        <w:rPr>
          <w:sz w:val="22"/>
          <w:szCs w:val="22"/>
        </w:rPr>
        <w:t>shall use cleaning solvents that meet one of the requirements specified in</w:t>
      </w:r>
      <w:bookmarkEnd w:id="35"/>
      <w:r w:rsidRPr="00EB486E">
        <w:rPr>
          <w:sz w:val="22"/>
          <w:szCs w:val="22"/>
        </w:rPr>
        <w:t xml:space="preserve"> paragraphs (b)(1), (b)(2), and (b)(3) of this section. Cleaning solvent solutions that contain HAP and VOC below the de minimis levels specified in §63.741(f) are exempt from the requirements in paragraphs (b)(1), (b)(2), and (b)(3) of this section.</w:t>
      </w:r>
    </w:p>
    <w:p w:rsidR="00EB486E" w:rsidRPr="00EB486E" w:rsidRDefault="00EB486E" w:rsidP="00EB486E">
      <w:pPr>
        <w:pStyle w:val="NormalWeb"/>
        <w:rPr>
          <w:sz w:val="22"/>
          <w:szCs w:val="22"/>
        </w:rPr>
      </w:pPr>
      <w:r w:rsidRPr="00EB486E">
        <w:rPr>
          <w:sz w:val="22"/>
          <w:szCs w:val="22"/>
        </w:rPr>
        <w:t>(1) Meet one of the composition requirements in Table 1 of this section;</w:t>
      </w:r>
    </w:p>
    <w:p w:rsidR="00EB486E" w:rsidRPr="00EB486E" w:rsidRDefault="00EB486E" w:rsidP="00EB486E">
      <w:pPr>
        <w:pStyle w:val="NormalWeb"/>
        <w:rPr>
          <w:sz w:val="22"/>
          <w:szCs w:val="22"/>
        </w:rPr>
      </w:pPr>
      <w:r w:rsidRPr="00EB486E">
        <w:rPr>
          <w:sz w:val="22"/>
          <w:szCs w:val="22"/>
        </w:rPr>
        <w:t>(2) Have a composite vapor pressure of 45 mm Hg (24.1 in. H</w:t>
      </w:r>
      <w:r w:rsidRPr="00EB486E">
        <w:rPr>
          <w:sz w:val="22"/>
          <w:szCs w:val="22"/>
          <w:vertAlign w:val="subscript"/>
        </w:rPr>
        <w:t>2</w:t>
      </w:r>
      <w:r w:rsidRPr="00EB486E">
        <w:rPr>
          <w:sz w:val="22"/>
          <w:szCs w:val="22"/>
        </w:rPr>
        <w:t xml:space="preserve"> O) or less at 20 °C (68 °F); or</w:t>
      </w:r>
    </w:p>
    <w:p w:rsidR="00EB486E" w:rsidRPr="00EB486E" w:rsidRDefault="00EB486E" w:rsidP="00EB486E">
      <w:pPr>
        <w:pStyle w:val="NormalWeb"/>
        <w:rPr>
          <w:sz w:val="22"/>
          <w:szCs w:val="22"/>
        </w:rPr>
      </w:pPr>
      <w:r w:rsidRPr="00EB486E">
        <w:rPr>
          <w:sz w:val="22"/>
          <w:szCs w:val="22"/>
        </w:rPr>
        <w:t>(3) Demonstrate that the volume of hand-wipe solvents used in cleaning operations has been reduced by at least 60% from a baseline adjusted for production. The baseline shall be established as part of an approved alternative plan administered by the State. Demonstrate that the volume of hand-wipe cleaning solvents used in cleaning operations has been reduced by at least 60 percent from a baseline adjusted for production. The baseline shall be calculated using data from 1996 and 1997, or as otherwise agreed upon by the Administrator or delegated State Authority. The baseline shall be approved by the Administrator or delegated State Authority and shall be included as part of the facility's title V or part 70 permit.</w:t>
      </w:r>
    </w:p>
    <w:p w:rsidR="00EB486E" w:rsidRPr="00EB486E" w:rsidRDefault="00EB486E" w:rsidP="00EB486E">
      <w:pPr>
        <w:pStyle w:val="NormalWeb"/>
        <w:rPr>
          <w:sz w:val="22"/>
          <w:szCs w:val="22"/>
        </w:rPr>
      </w:pPr>
      <w:r w:rsidRPr="00EB486E">
        <w:rPr>
          <w:sz w:val="22"/>
          <w:szCs w:val="22"/>
        </w:rPr>
        <w:t xml:space="preserve">(c) </w:t>
      </w:r>
      <w:r w:rsidRPr="00EB486E">
        <w:rPr>
          <w:i/>
          <w:iCs/>
          <w:sz w:val="22"/>
          <w:szCs w:val="22"/>
        </w:rPr>
        <w:t>Spray gun cleaning.</w:t>
      </w:r>
      <w:r w:rsidRPr="00EB486E">
        <w:rPr>
          <w:sz w:val="22"/>
          <w:szCs w:val="22"/>
        </w:rPr>
        <w:t xml:space="preserve"> Each owner or operator of a new or existing spray gun cleaning operation subject to this subpart in which spray guns are used for the application of coatings or any other materials that require the spray guns to be cleaned shall use one or more of the techniques, or their equivalent, specified in paragraphs (c)(1) through (c)(4) of this section. Spray gun cleaning operations using cleaning solvent solutions that contain HAP and VOC below the de minimis levels specified in §63.741(f) are exempt from the requirements in paragraphs (c)(1) through (c)(4) of this section.</w:t>
      </w:r>
    </w:p>
    <w:p w:rsidR="00EB486E" w:rsidRPr="00EB486E" w:rsidRDefault="00EB486E" w:rsidP="00EB486E">
      <w:pPr>
        <w:pStyle w:val="NormalWeb"/>
        <w:rPr>
          <w:sz w:val="22"/>
          <w:szCs w:val="22"/>
        </w:rPr>
      </w:pPr>
      <w:r w:rsidRPr="00EB486E">
        <w:rPr>
          <w:sz w:val="22"/>
          <w:szCs w:val="22"/>
        </w:rPr>
        <w:t xml:space="preserve">(1)(i) Enclosed system. Clean the spray gun in an enclosed system that is closed </w:t>
      </w:r>
      <w:proofErr w:type="gramStart"/>
      <w:r w:rsidRPr="00EB486E">
        <w:rPr>
          <w:sz w:val="22"/>
          <w:szCs w:val="22"/>
        </w:rPr>
        <w:t>at all times</w:t>
      </w:r>
      <w:proofErr w:type="gramEnd"/>
      <w:r w:rsidRPr="00EB486E">
        <w:rPr>
          <w:sz w:val="22"/>
          <w:szCs w:val="22"/>
        </w:rPr>
        <w:t xml:space="preserve"> except when inserting or removing the spray gun. Cleaning shall consist of forcing solvent through the gun.</w:t>
      </w:r>
    </w:p>
    <w:p w:rsidR="00EB486E" w:rsidRPr="00EB486E" w:rsidRDefault="00EB486E" w:rsidP="00EB486E">
      <w:pPr>
        <w:pStyle w:val="NormalWeb"/>
        <w:rPr>
          <w:sz w:val="22"/>
          <w:szCs w:val="22"/>
        </w:rPr>
      </w:pPr>
      <w:r w:rsidRPr="00EB486E">
        <w:rPr>
          <w:sz w:val="22"/>
          <w:szCs w:val="22"/>
        </w:rPr>
        <w:t>(ii) If leaks are found during the monthly inspection required in §63.751(a), repairs shall be made as soon as practicable, but no later than 15 days after the leak was found. If the leak is not repaired by the 15th day after detection, the cleaning solvent shall be removed, and the enclosed cleaner shall be shut down until the leak is repaired or its use is permanently discontinued.</w:t>
      </w:r>
    </w:p>
    <w:p w:rsidR="00EB486E" w:rsidRPr="00EB486E" w:rsidRDefault="00EB486E" w:rsidP="00EB486E">
      <w:pPr>
        <w:pStyle w:val="NormalWeb"/>
        <w:rPr>
          <w:sz w:val="22"/>
          <w:szCs w:val="22"/>
        </w:rPr>
      </w:pPr>
      <w:r w:rsidRPr="00EB486E">
        <w:rPr>
          <w:sz w:val="22"/>
          <w:szCs w:val="22"/>
        </w:rPr>
        <w:lastRenderedPageBreak/>
        <w:t xml:space="preserve">(2) </w:t>
      </w:r>
      <w:r w:rsidRPr="00EB486E">
        <w:rPr>
          <w:i/>
          <w:iCs/>
          <w:sz w:val="22"/>
          <w:szCs w:val="22"/>
        </w:rPr>
        <w:t>Nonatomized cleaning.</w:t>
      </w:r>
      <w:r w:rsidRPr="00EB486E">
        <w:rPr>
          <w:sz w:val="22"/>
          <w:szCs w:val="22"/>
        </w:rPr>
        <w:t xml:space="preserve"> Clean the spray gun by placing cleaning solvent in the pressure pot and forcing it through the gun with the atomizing cap in place. No atomizing air is to be used. Direct the cleaning solvent from the spray gun into a vat, drum, or other waste container that is closed when not in use.</w:t>
      </w:r>
    </w:p>
    <w:p w:rsidR="00EB486E" w:rsidRPr="00EB486E" w:rsidRDefault="00EB486E" w:rsidP="00EB486E">
      <w:pPr>
        <w:pStyle w:val="NormalWeb"/>
        <w:rPr>
          <w:sz w:val="22"/>
          <w:szCs w:val="22"/>
        </w:rPr>
      </w:pPr>
      <w:r w:rsidRPr="00EB486E">
        <w:rPr>
          <w:sz w:val="22"/>
          <w:szCs w:val="22"/>
        </w:rPr>
        <w:t xml:space="preserve">(3) Disassembled spray gun cleaning. Disassemble the spray gun and clean the components by hand in a vat, which shall remain closed </w:t>
      </w:r>
      <w:proofErr w:type="gramStart"/>
      <w:r w:rsidRPr="00EB486E">
        <w:rPr>
          <w:sz w:val="22"/>
          <w:szCs w:val="22"/>
        </w:rPr>
        <w:t>at all times</w:t>
      </w:r>
      <w:proofErr w:type="gramEnd"/>
      <w:r w:rsidRPr="00EB486E">
        <w:rPr>
          <w:sz w:val="22"/>
          <w:szCs w:val="22"/>
        </w:rPr>
        <w:t xml:space="preserve"> except when in use. Alternatively, soak the components in a vat, which shall remain closed during the soaking period and when not inserting or removing components.</w:t>
      </w:r>
    </w:p>
    <w:p w:rsidR="00EB486E" w:rsidRPr="00EB486E" w:rsidRDefault="00EB486E" w:rsidP="00EB486E">
      <w:pPr>
        <w:pStyle w:val="NormalWeb"/>
        <w:rPr>
          <w:sz w:val="22"/>
          <w:szCs w:val="22"/>
        </w:rPr>
      </w:pPr>
      <w:r w:rsidRPr="00EB486E">
        <w:rPr>
          <w:sz w:val="22"/>
          <w:szCs w:val="22"/>
        </w:rPr>
        <w:t xml:space="preserve">(4) </w:t>
      </w:r>
      <w:r w:rsidRPr="00EB486E">
        <w:rPr>
          <w:i/>
          <w:iCs/>
          <w:sz w:val="22"/>
          <w:szCs w:val="22"/>
        </w:rPr>
        <w:t>Atomizing cleaning.</w:t>
      </w:r>
      <w:r w:rsidRPr="00EB486E">
        <w:rPr>
          <w:sz w:val="22"/>
          <w:szCs w:val="22"/>
        </w:rPr>
        <w:t xml:space="preserve"> Clean the spray gun by forcing the cleaning solvent through the gun and direct the resulting atomized spray into a waste container that is fitted with a device designed to capture the atomized cleaning solvent emissions.</w:t>
      </w:r>
    </w:p>
    <w:p w:rsidR="00EB486E" w:rsidRPr="00EB486E" w:rsidRDefault="00EB486E" w:rsidP="00EB486E">
      <w:pPr>
        <w:pStyle w:val="NormalWeb"/>
        <w:rPr>
          <w:sz w:val="22"/>
          <w:szCs w:val="22"/>
        </w:rPr>
      </w:pPr>
      <w:r w:rsidRPr="00EB486E">
        <w:rPr>
          <w:sz w:val="22"/>
          <w:szCs w:val="22"/>
        </w:rPr>
        <w:t>(5) Cleaning of the nozzle tips of automated spray equipment systems, except for robotic systems that can be programmed to spray into a closed container, shall be exempt from the requirements of paragraph (c) of this section.</w:t>
      </w:r>
    </w:p>
    <w:p w:rsidR="00EB486E" w:rsidRPr="00EB486E" w:rsidRDefault="00EB486E" w:rsidP="00EB486E">
      <w:pPr>
        <w:pStyle w:val="NormalWeb"/>
        <w:rPr>
          <w:sz w:val="22"/>
          <w:szCs w:val="22"/>
        </w:rPr>
      </w:pPr>
      <w:r w:rsidRPr="00EB486E">
        <w:rPr>
          <w:sz w:val="22"/>
          <w:szCs w:val="22"/>
        </w:rPr>
        <w:t xml:space="preserve">(d) </w:t>
      </w:r>
      <w:r w:rsidRPr="00EB486E">
        <w:rPr>
          <w:i/>
          <w:iCs/>
          <w:sz w:val="22"/>
          <w:szCs w:val="22"/>
        </w:rPr>
        <w:t>Flush cleaning.</w:t>
      </w:r>
      <w:r w:rsidRPr="00EB486E">
        <w:rPr>
          <w:sz w:val="22"/>
          <w:szCs w:val="22"/>
        </w:rPr>
        <w:t xml:space="preserve"> Each owner or operator of a flush cleaning operation subject to this subpart (excluding those in which Table 1 or semi-aqueous cleaning solvents are used) shall empty the used cleaning solvent each time aerospace parts or assemblies, or components of a coating unit (</w:t>
      </w:r>
      <w:proofErr w:type="gramStart"/>
      <w:r w:rsidRPr="00EB486E">
        <w:rPr>
          <w:sz w:val="22"/>
          <w:szCs w:val="22"/>
        </w:rPr>
        <w:t>with the exception of</w:t>
      </w:r>
      <w:proofErr w:type="gramEnd"/>
      <w:r w:rsidRPr="00EB486E">
        <w:rPr>
          <w:sz w:val="22"/>
          <w:szCs w:val="22"/>
        </w:rPr>
        <w:t xml:space="preserve"> spray guns) are flush cleaned into an enclosed container or collection system that is kept closed when not in use or into a system with equivalent emission control.</w:t>
      </w:r>
    </w:p>
    <w:p w:rsidR="00EB486E" w:rsidRPr="00EB486E" w:rsidRDefault="00EB486E" w:rsidP="00EB486E">
      <w:pPr>
        <w:pStyle w:val="NormalWeb"/>
        <w:rPr>
          <w:sz w:val="22"/>
          <w:szCs w:val="22"/>
        </w:rPr>
      </w:pPr>
      <w:r w:rsidRPr="00EB486E">
        <w:rPr>
          <w:sz w:val="22"/>
          <w:szCs w:val="22"/>
        </w:rPr>
        <w:t xml:space="preserve">(e) </w:t>
      </w:r>
      <w:r w:rsidRPr="00EB486E">
        <w:rPr>
          <w:i/>
          <w:iCs/>
          <w:sz w:val="22"/>
          <w:szCs w:val="22"/>
        </w:rPr>
        <w:t>Exempt cleaning operations.</w:t>
      </w:r>
      <w:r w:rsidRPr="00EB486E">
        <w:rPr>
          <w:sz w:val="22"/>
          <w:szCs w:val="22"/>
        </w:rPr>
        <w:t xml:space="preserve"> The following cleaning operations are exempt from the requirements of paragraph (b) of this section: </w:t>
      </w:r>
    </w:p>
    <w:p w:rsidR="00EB486E" w:rsidRPr="00EB486E" w:rsidRDefault="00EB486E" w:rsidP="00EB486E">
      <w:pPr>
        <w:pStyle w:val="NormalWeb"/>
        <w:rPr>
          <w:sz w:val="22"/>
          <w:szCs w:val="22"/>
        </w:rPr>
      </w:pPr>
      <w:r w:rsidRPr="00EB486E">
        <w:rPr>
          <w:sz w:val="22"/>
          <w:szCs w:val="22"/>
        </w:rPr>
        <w:t>(1) Cleaning during the manufacture, assembly, installation, maintenance, or testing of components of breathing oxygen systems that are exposed to the breathing oxygen;</w:t>
      </w:r>
    </w:p>
    <w:p w:rsidR="00EB486E" w:rsidRPr="00EB486E" w:rsidRDefault="00EB486E" w:rsidP="00EB486E">
      <w:pPr>
        <w:pStyle w:val="NormalWeb"/>
        <w:rPr>
          <w:sz w:val="22"/>
          <w:szCs w:val="22"/>
        </w:rPr>
      </w:pPr>
      <w:r w:rsidRPr="00EB486E">
        <w:rPr>
          <w:sz w:val="22"/>
          <w:szCs w:val="22"/>
        </w:rPr>
        <w:t>(2) Cleaning during the manufacture, assembly, installation, maintenance, or testing of parts, subassemblies, or assemblies that are exposed to strong oxidizers or reducers (e.g., nitrogen tetroxide, liquid oxygen, or hydrazine);</w:t>
      </w:r>
    </w:p>
    <w:p w:rsidR="00EB486E" w:rsidRPr="00EB486E" w:rsidRDefault="00EB486E" w:rsidP="00EB486E">
      <w:pPr>
        <w:pStyle w:val="NormalWeb"/>
        <w:rPr>
          <w:sz w:val="22"/>
          <w:szCs w:val="22"/>
        </w:rPr>
      </w:pPr>
      <w:r w:rsidRPr="00EB486E">
        <w:rPr>
          <w:sz w:val="22"/>
          <w:szCs w:val="22"/>
        </w:rPr>
        <w:t xml:space="preserve">(3) Cleaning and surface activation prior to adhesive bonding; </w:t>
      </w:r>
    </w:p>
    <w:p w:rsidR="00EB486E" w:rsidRPr="00EB486E" w:rsidRDefault="00EB486E" w:rsidP="00EB486E">
      <w:pPr>
        <w:pStyle w:val="NormalWeb"/>
        <w:rPr>
          <w:sz w:val="22"/>
          <w:szCs w:val="22"/>
        </w:rPr>
      </w:pPr>
      <w:r w:rsidRPr="00EB486E">
        <w:rPr>
          <w:sz w:val="22"/>
          <w:szCs w:val="22"/>
        </w:rPr>
        <w:t>(4) Cleaning of electronic parts and assemblies containing electronic parts;</w:t>
      </w:r>
    </w:p>
    <w:p w:rsidR="00EB486E" w:rsidRPr="00EB486E" w:rsidRDefault="00EB486E" w:rsidP="00EB486E">
      <w:pPr>
        <w:pStyle w:val="NormalWeb"/>
        <w:rPr>
          <w:sz w:val="22"/>
          <w:szCs w:val="22"/>
        </w:rPr>
      </w:pPr>
      <w:r w:rsidRPr="00EB486E">
        <w:rPr>
          <w:sz w:val="22"/>
          <w:szCs w:val="22"/>
        </w:rPr>
        <w:t xml:space="preserve">(5) Cleaning of aircraft and ground support equipment fluid systems that are exposed to the fluid, including air-to-air heat exchangers and hydraulic fluid systems; </w:t>
      </w:r>
    </w:p>
    <w:p w:rsidR="00EB486E" w:rsidRPr="00EB486E" w:rsidRDefault="00EB486E" w:rsidP="00EB486E">
      <w:pPr>
        <w:pStyle w:val="NormalWeb"/>
        <w:rPr>
          <w:sz w:val="22"/>
          <w:szCs w:val="22"/>
        </w:rPr>
      </w:pPr>
      <w:r w:rsidRPr="00EB486E">
        <w:rPr>
          <w:sz w:val="22"/>
          <w:szCs w:val="22"/>
        </w:rPr>
        <w:t xml:space="preserve">(6) Cleaning of fuel cells, fuel tanks, and confined spaces; </w:t>
      </w:r>
    </w:p>
    <w:p w:rsidR="00EB486E" w:rsidRPr="00EB486E" w:rsidRDefault="00EB486E" w:rsidP="00EB486E">
      <w:pPr>
        <w:pStyle w:val="NormalWeb"/>
        <w:rPr>
          <w:sz w:val="22"/>
          <w:szCs w:val="22"/>
        </w:rPr>
      </w:pPr>
      <w:r w:rsidRPr="00EB486E">
        <w:rPr>
          <w:sz w:val="22"/>
          <w:szCs w:val="22"/>
        </w:rPr>
        <w:t xml:space="preserve">(7) Surface cleaning of solar cells, coated optics, and thermal control surfaces; </w:t>
      </w:r>
    </w:p>
    <w:p w:rsidR="00EB486E" w:rsidRPr="00EB486E" w:rsidRDefault="00EB486E" w:rsidP="00EB486E">
      <w:pPr>
        <w:pStyle w:val="NormalWeb"/>
        <w:rPr>
          <w:sz w:val="22"/>
          <w:szCs w:val="22"/>
        </w:rPr>
      </w:pPr>
      <w:r w:rsidRPr="00EB486E">
        <w:rPr>
          <w:sz w:val="22"/>
          <w:szCs w:val="22"/>
        </w:rPr>
        <w:t xml:space="preserve">(8) Cleaning during fabrication, assembly, installation, and maintenance of upholstery, curtains, carpet, and other textile materials used in the interior of the aircraft; </w:t>
      </w:r>
    </w:p>
    <w:p w:rsidR="00EB486E" w:rsidRPr="00EB486E" w:rsidRDefault="00EB486E" w:rsidP="00EB486E">
      <w:pPr>
        <w:pStyle w:val="NormalWeb"/>
        <w:rPr>
          <w:sz w:val="22"/>
          <w:szCs w:val="22"/>
        </w:rPr>
      </w:pPr>
      <w:r w:rsidRPr="00EB486E">
        <w:rPr>
          <w:sz w:val="22"/>
          <w:szCs w:val="22"/>
        </w:rPr>
        <w:lastRenderedPageBreak/>
        <w:t>(9) Cleaning of metallic and nonmetallic materials used in honeycomb cores during the manufacture or maintenance of these cores, and cleaning of the completed cores used in the manufacture of aerospace vehicles or components;</w:t>
      </w:r>
    </w:p>
    <w:p w:rsidR="00EB486E" w:rsidRPr="00EB486E" w:rsidRDefault="00EB486E" w:rsidP="00EB486E">
      <w:pPr>
        <w:pStyle w:val="NormalWeb"/>
        <w:rPr>
          <w:sz w:val="22"/>
          <w:szCs w:val="22"/>
        </w:rPr>
      </w:pPr>
      <w:r w:rsidRPr="00EB486E">
        <w:rPr>
          <w:sz w:val="22"/>
          <w:szCs w:val="22"/>
        </w:rPr>
        <w:t>(10) Cleaning of aircraft transparencies, polycarbonate, or glass substrates;</w:t>
      </w:r>
    </w:p>
    <w:p w:rsidR="00EB486E" w:rsidRPr="00EB486E" w:rsidRDefault="00EB486E" w:rsidP="00EB486E">
      <w:pPr>
        <w:pStyle w:val="NormalWeb"/>
        <w:rPr>
          <w:sz w:val="22"/>
          <w:szCs w:val="22"/>
        </w:rPr>
      </w:pPr>
      <w:r w:rsidRPr="00EB486E">
        <w:rPr>
          <w:sz w:val="22"/>
          <w:szCs w:val="22"/>
        </w:rPr>
        <w:t>(11) Cleaning and cleaning solvent usage associated with research and development, quality control, and laboratory testing;</w:t>
      </w:r>
    </w:p>
    <w:p w:rsidR="00EB486E" w:rsidRPr="00EB486E" w:rsidRDefault="00EB486E" w:rsidP="00EB486E">
      <w:pPr>
        <w:pStyle w:val="NormalWeb"/>
        <w:rPr>
          <w:sz w:val="22"/>
          <w:szCs w:val="22"/>
        </w:rPr>
      </w:pPr>
      <w:r w:rsidRPr="00EB486E">
        <w:rPr>
          <w:sz w:val="22"/>
          <w:szCs w:val="22"/>
        </w:rPr>
        <w:t>(12) Cleaning operations, using nonflamable liquids, conducted within five feet of energized electrical systems. Energized electrical systems means any AC or DC electrical circuit on an assembled aircraft once electrical power is connected, including interior passenger and cargo areas, wheel wells and tail sections; and</w:t>
      </w:r>
    </w:p>
    <w:p w:rsidR="00EB486E" w:rsidRPr="00EB486E" w:rsidRDefault="00EB486E" w:rsidP="00EB486E">
      <w:pPr>
        <w:pStyle w:val="NormalWeb"/>
        <w:rPr>
          <w:sz w:val="22"/>
          <w:szCs w:val="22"/>
        </w:rPr>
      </w:pPr>
      <w:r w:rsidRPr="00EB486E">
        <w:rPr>
          <w:sz w:val="22"/>
          <w:szCs w:val="22"/>
        </w:rPr>
        <w:t>(13) Cleaning operations identified as essential uses under the Montreal Protocol for which the Administrator has allocated essential use allowances or exemptions in 40 CFR 82.4.</w:t>
      </w:r>
    </w:p>
    <w:p w:rsidR="00EB486E" w:rsidRPr="00EB486E" w:rsidRDefault="00EB486E" w:rsidP="00EB486E">
      <w:pPr>
        <w:pStyle w:val="gpotbltitle"/>
        <w:jc w:val="left"/>
        <w:rPr>
          <w:sz w:val="22"/>
          <w:szCs w:val="22"/>
        </w:rPr>
      </w:pPr>
      <w:r w:rsidRPr="00EB486E">
        <w:rPr>
          <w:sz w:val="22"/>
          <w:szCs w:val="22"/>
        </w:rPr>
        <w:t>Table 1—Composition Requirements for Approved Cleaning Solvents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50"/>
        <w:gridCol w:w="8660"/>
      </w:tblGrid>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bookmarkStart w:id="36" w:name="_Hlk483388274"/>
            <w:r w:rsidRPr="00EB486E">
              <w:rPr>
                <w:b/>
                <w:bCs/>
                <w:szCs w:val="22"/>
              </w:rPr>
              <w:t>Cleaning solvent type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Composition requirements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Aqueous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Cleaning solvents in which water is the primary ingredient (≥80 percent of cleaning solvent solution as applied must be water). Detergents, surfactants, and bioenzyme mixtures and nutrients may be combined with the water along with a variety of additives, such as organic solvents (e.g., high boiling point alcohols), builders, saponifiers, inhibitors, emulsifiers, pH buffers, and antifoaming agents. Aqueous solutions must have a flash point greater than 93 °C (200 °F) (as reported by the manufacturer), and the solution must be miscible with water.</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Hydrocarbon-based</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Cleaners that are composed of photochemically reactive hydrocarbons and/or oxygenated hydrocarbons and have a maximum vapor pressure of 7 mm Hg at 20 °C (3.75 in. H</w:t>
            </w:r>
            <w:r w:rsidRPr="00EB486E">
              <w:rPr>
                <w:szCs w:val="22"/>
                <w:vertAlign w:val="subscript"/>
              </w:rPr>
              <w:t>2</w:t>
            </w:r>
            <w:r w:rsidRPr="00EB486E">
              <w:rPr>
                <w:szCs w:val="22"/>
              </w:rPr>
              <w:t>O and 68 °F). These cleaners also contain no HAP.</w:t>
            </w:r>
          </w:p>
        </w:tc>
      </w:tr>
    </w:tbl>
    <w:bookmarkEnd w:id="36"/>
    <w:p w:rsidR="00EB486E" w:rsidRPr="00EB486E" w:rsidRDefault="00EB486E" w:rsidP="00EB486E">
      <w:pPr>
        <w:pStyle w:val="cita"/>
        <w:rPr>
          <w:sz w:val="22"/>
          <w:szCs w:val="22"/>
        </w:rPr>
      </w:pPr>
      <w:r w:rsidRPr="00EB486E">
        <w:rPr>
          <w:sz w:val="22"/>
          <w:szCs w:val="22"/>
        </w:rPr>
        <w:t>[60 FR 45956, Sept. 1, 1996, as amended at 63 FR 15018, Mar. 27, 1998; 63 FR 46533, Sept. 1, 1998; 68 FR 37352, June 23, 2003; 80 FR 76181, Dec. 7, 2015]</w:t>
      </w:r>
    </w:p>
    <w:p w:rsidR="00EB486E" w:rsidRPr="00EB486E" w:rsidRDefault="00EB486E" w:rsidP="00EB486E">
      <w:pPr>
        <w:pStyle w:val="Heading2"/>
        <w:rPr>
          <w:rFonts w:ascii="Times New Roman" w:hAnsi="Times New Roman" w:cs="Times New Roman"/>
          <w:sz w:val="22"/>
          <w:szCs w:val="22"/>
        </w:rPr>
      </w:pPr>
      <w:bookmarkStart w:id="37" w:name="se40.12.63_1745"/>
      <w:bookmarkEnd w:id="37"/>
      <w:r w:rsidRPr="00EB486E">
        <w:rPr>
          <w:rFonts w:ascii="Times New Roman" w:hAnsi="Times New Roman" w:cs="Times New Roman"/>
          <w:sz w:val="22"/>
          <w:szCs w:val="22"/>
        </w:rPr>
        <w:t>§63.745   Standards: Primer, topcoat, and specialty coating application operations.</w:t>
      </w:r>
    </w:p>
    <w:p w:rsidR="00EB486E" w:rsidRPr="00EB486E" w:rsidRDefault="00EB486E" w:rsidP="00EB486E">
      <w:pPr>
        <w:pStyle w:val="NormalWeb"/>
        <w:rPr>
          <w:sz w:val="22"/>
          <w:szCs w:val="22"/>
        </w:rPr>
      </w:pPr>
      <w:r w:rsidRPr="00EB486E">
        <w:rPr>
          <w:sz w:val="22"/>
          <w:szCs w:val="22"/>
        </w:rPr>
        <w:t xml:space="preserve">(a) Each owner or operator of a new or existing primer, topcoat, or specialty coating application operation subject to this subpart shall comply with the requirements specified in paragraph (c) of this section for those coatings that are uncontrolled (no control device is used to reduce organic HAP emissions from the operation), and in paragraph (d) of this section for those coatings that are controlled (organic HAP emissions from the operation are reduced </w:t>
      </w:r>
      <w:proofErr w:type="gramStart"/>
      <w:r w:rsidRPr="00EB486E">
        <w:rPr>
          <w:sz w:val="22"/>
          <w:szCs w:val="22"/>
        </w:rPr>
        <w:t>by the use of</w:t>
      </w:r>
      <w:proofErr w:type="gramEnd"/>
      <w:r w:rsidRPr="00EB486E">
        <w:rPr>
          <w:sz w:val="22"/>
          <w:szCs w:val="22"/>
        </w:rPr>
        <w:t xml:space="preserve"> a control device). Aerospace equipment that is no longer operational, intended for public display, and not easily capable of being moved is exempt from the requirements of this section.</w:t>
      </w:r>
    </w:p>
    <w:p w:rsidR="00EB486E" w:rsidRPr="00EB486E" w:rsidRDefault="00EB486E" w:rsidP="00EB486E">
      <w:pPr>
        <w:pStyle w:val="NormalWeb"/>
        <w:rPr>
          <w:sz w:val="22"/>
          <w:szCs w:val="22"/>
        </w:rPr>
      </w:pPr>
      <w:r w:rsidRPr="00EB486E">
        <w:rPr>
          <w:sz w:val="22"/>
          <w:szCs w:val="22"/>
        </w:rPr>
        <w:t>(b) Each owner or operator shall conduct the handling and transfer of primers, topcoats, and specialty coatings to or from containers, tanks, vats, vessels, and piping systems in such a manner that minimizes spills.</w:t>
      </w:r>
    </w:p>
    <w:p w:rsidR="00EB486E" w:rsidRPr="00EB486E" w:rsidRDefault="00EB486E" w:rsidP="00EB486E">
      <w:pPr>
        <w:pStyle w:val="NormalWeb"/>
        <w:rPr>
          <w:sz w:val="22"/>
          <w:szCs w:val="22"/>
        </w:rPr>
      </w:pPr>
      <w:r w:rsidRPr="00EB486E">
        <w:rPr>
          <w:sz w:val="22"/>
          <w:szCs w:val="22"/>
        </w:rPr>
        <w:lastRenderedPageBreak/>
        <w:t xml:space="preserve">(c) </w:t>
      </w:r>
      <w:r w:rsidRPr="00EB486E">
        <w:rPr>
          <w:i/>
          <w:iCs/>
          <w:sz w:val="22"/>
          <w:szCs w:val="22"/>
        </w:rPr>
        <w:t>Uncontrolled coatings—organic HAP and VOC content levels</w:t>
      </w:r>
      <w:r w:rsidRPr="00EB486E">
        <w:rPr>
          <w:sz w:val="22"/>
          <w:szCs w:val="22"/>
        </w:rPr>
        <w:t>. Each owner or operator shall comply with the organic HAP and VOC content limits specified in paragraphs (c)(1) through (6) of this section for those coatings that are uncontrolled.</w:t>
      </w:r>
    </w:p>
    <w:p w:rsidR="00EB486E" w:rsidRPr="00EB486E" w:rsidRDefault="00EB486E" w:rsidP="00EB486E">
      <w:pPr>
        <w:pStyle w:val="NormalWeb"/>
        <w:rPr>
          <w:sz w:val="22"/>
          <w:szCs w:val="22"/>
        </w:rPr>
      </w:pPr>
      <w:r w:rsidRPr="00EB486E">
        <w:rPr>
          <w:sz w:val="22"/>
          <w:szCs w:val="22"/>
        </w:rPr>
        <w:t xml:space="preserve">(1) Organic HAP emissions from primers shall be limited to an organic HAP content level of no more than: 540 g/L (4.5 lb/gal) of primer (less water), as applied, for general aviation rework facilities; or 650 g/L (5.4 lb/gal) of exterior primer (less water), as applied, to large commercial aircraft components (parts or assemblies) or fully assembled, large commercial aircraft at existing affected sources that produce fully assembled, large commercial aircraft; or 350 g/L (2.9 lb/gal) of primer (less water), as applied. </w:t>
      </w:r>
    </w:p>
    <w:p w:rsidR="00EB486E" w:rsidRPr="00EB486E" w:rsidRDefault="00EB486E" w:rsidP="00EB486E">
      <w:pPr>
        <w:pStyle w:val="NormalWeb"/>
        <w:rPr>
          <w:sz w:val="22"/>
          <w:szCs w:val="22"/>
        </w:rPr>
      </w:pPr>
      <w:r w:rsidRPr="00EB486E">
        <w:rPr>
          <w:sz w:val="22"/>
          <w:szCs w:val="22"/>
        </w:rPr>
        <w:t>(2) VOC emissions from primers shall be limited to a VOC content level of no more than: 540 g/L (4.5 lb/gal) of primer (less water and exempt solvents), as applied, for general aviation rework facilities; or 650 g/L (5.4 lb/gal) of exterior primer (less water and exempt solvents), as applied, to large commercial aircraft components (parts or assemblies) or fully assembled, large commercial aircraft at existing affected sources that produce fully assembled, large commercial aircraft; or 350 g/L (2.9 lb/gal) of primer (less water and exempt solvents), as applied.</w:t>
      </w:r>
    </w:p>
    <w:p w:rsidR="00EB486E" w:rsidRPr="00EB486E" w:rsidRDefault="00EB486E" w:rsidP="00EB486E">
      <w:pPr>
        <w:pStyle w:val="NormalWeb"/>
        <w:rPr>
          <w:sz w:val="22"/>
          <w:szCs w:val="22"/>
        </w:rPr>
      </w:pPr>
      <w:r w:rsidRPr="00EB486E">
        <w:rPr>
          <w:sz w:val="22"/>
          <w:szCs w:val="22"/>
        </w:rPr>
        <w:t>(3) Organic HAP emissions from topcoats shall be limited to an organic HAP content level of no more than: 420 g/L (3.5 lb/gal) of coating (less water) as applied or 540 g/L (4.5 lb/gal) of coating (less water) as applied for general aviation rework facilities. Organic HAP emissions from self-priming topcoats shall be limited to an organic HAP content level of no more than: 420 g/L (3.5 lb/gal) of self-priming topcoat (less water) as applied or 540 g/L (4.5 lb/gal) of self-priming topcoat (less water) as applied for general aviation rework facilities.</w:t>
      </w:r>
    </w:p>
    <w:p w:rsidR="00EB486E" w:rsidRPr="00EB486E" w:rsidRDefault="00EB486E" w:rsidP="00EB486E">
      <w:pPr>
        <w:pStyle w:val="NormalWeb"/>
        <w:rPr>
          <w:sz w:val="22"/>
          <w:szCs w:val="22"/>
        </w:rPr>
      </w:pPr>
      <w:r w:rsidRPr="00EB486E">
        <w:rPr>
          <w:sz w:val="22"/>
          <w:szCs w:val="22"/>
        </w:rPr>
        <w:t>(4) VOC emissions from topcoats shall be limited to a VOC content level of no more than: 420 g/L (3.5 lb/gal) of coating (less water and exempt solvents) as applied or 540 g/L (4.5 lb/gal) of coating (less water and exempt solvents) as applied for general aviation rework facilities. VOC emissions from self-priming topcoats shall be limited to a VOC content level of no more than: 420 g/L (3.5 lb/gal) of self-priming topcoat (less water and exempt solvents) as applied or 540 g/L (4.5 lb/gal) of self-priming topcoat (less water) as applied for general aviation rework facilities.</w:t>
      </w:r>
    </w:p>
    <w:p w:rsidR="00EB486E" w:rsidRPr="00EB486E" w:rsidRDefault="00EB486E" w:rsidP="00EB486E">
      <w:pPr>
        <w:pStyle w:val="NormalWeb"/>
        <w:rPr>
          <w:sz w:val="22"/>
          <w:szCs w:val="22"/>
        </w:rPr>
      </w:pPr>
      <w:r w:rsidRPr="00EB486E">
        <w:rPr>
          <w:sz w:val="22"/>
          <w:szCs w:val="22"/>
        </w:rPr>
        <w:t>(5) Organic HAP emissions from specialty coatings shall be limited to an organic HAP content level of no more than the HAP content limit specified in Table 1 of this section for each applicable specialty coating type.</w:t>
      </w:r>
    </w:p>
    <w:p w:rsidR="00EB486E" w:rsidRPr="00EB486E" w:rsidRDefault="00EB486E" w:rsidP="00EB486E">
      <w:pPr>
        <w:pStyle w:val="NormalWeb"/>
        <w:rPr>
          <w:sz w:val="22"/>
          <w:szCs w:val="22"/>
        </w:rPr>
      </w:pPr>
      <w:r w:rsidRPr="00EB486E">
        <w:rPr>
          <w:sz w:val="22"/>
          <w:szCs w:val="22"/>
        </w:rPr>
        <w:t>(6) VOC emissions from specialty coatings shall be limited to a VOC content level of no more than the VOC content limit specified in Table 1 of this section for each applicable specialty coating type.</w:t>
      </w:r>
    </w:p>
    <w:p w:rsidR="00EB486E" w:rsidRPr="00EB486E" w:rsidRDefault="00EB486E" w:rsidP="00EB486E">
      <w:pPr>
        <w:pStyle w:val="gpotbltitle"/>
        <w:jc w:val="left"/>
        <w:rPr>
          <w:sz w:val="22"/>
          <w:szCs w:val="22"/>
        </w:rPr>
      </w:pPr>
      <w:r w:rsidRPr="00EB486E">
        <w:rPr>
          <w:sz w:val="22"/>
          <w:szCs w:val="22"/>
        </w:rPr>
        <w:t>Table 1—Specialty Coatings—HAP and VOC Content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949"/>
        <w:gridCol w:w="1567"/>
        <w:gridCol w:w="1594"/>
      </w:tblGrid>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Coating Type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HAP Limit g/L</w:t>
            </w:r>
            <w:r w:rsidRPr="00EB486E">
              <w:rPr>
                <w:b/>
                <w:bCs/>
                <w:szCs w:val="22"/>
              </w:rPr>
              <w:br/>
              <w:t>(lb/gallon)</w:t>
            </w:r>
            <w:r w:rsidRPr="00EB486E">
              <w:rPr>
                <w:b/>
                <w:bCs/>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VOC Limit g/L</w:t>
            </w:r>
            <w:r w:rsidRPr="00EB486E">
              <w:rPr>
                <w:b/>
                <w:bCs/>
                <w:szCs w:val="22"/>
              </w:rPr>
              <w:br/>
              <w:t>(lb/gallon)</w:t>
            </w:r>
            <w:r w:rsidRPr="00EB486E">
              <w:rPr>
                <w:b/>
                <w:bCs/>
                <w:szCs w:val="22"/>
                <w:vertAlign w:val="superscript"/>
              </w:rPr>
              <w:t>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Ablative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600 (5.0)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600 (5.0)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Adhesion Promoter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890 (7.4)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890 (7.4)</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Adhesive Bonding Primers: Cured at 250 °F or below</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Adhesive Bonding Primers: Cured above 250 °F</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1030 (8.6)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1030 (8.6)</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Commercial Interior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760 (6.3)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760 (6.3)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lastRenderedPageBreak/>
              <w:t>Cyanoacrylate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1,020 (8.5)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1,020 (8.5)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Fuel Tank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620 (5.2)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620 (5.2)</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Nonstructural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360 (3.0)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360 (3.0)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Rocket Motor Bonding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890 (7.4)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890 (7.4)</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Rubber-based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Structural Autoclavable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 (0.5)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 (0.5)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Structural Nonautoclavable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Antichafe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660 (5.5)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660 (5.5)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Bearing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620 (5.2)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620 (5.2)</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Caulking and Smoothing Compounds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Chemical Agent-Resistant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550 (4.6)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550 (4.6)</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Clear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720 (6.0)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720 (6.0)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Commercial Exterior Aerodynamic Structure Primer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650 (5.4)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650 (5.4)</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Compatible Substrate Primer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780 (6.5)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780 (6.5)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Corrosion Prevention System</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710 (5.9)</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710 (5.9)</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Cryogenic Flexible Primer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645 (5.4)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645 (5.4)</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Cryoprotective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600 (5.0)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600 (5.0)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Dry Lubricative Material</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880 (7.3)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880 (7.3)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Electric or Radiation-Effect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Electrostatic Discharge and Electromagnetic Interference (EMI)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Elevated-Temperature Skydrol-Resistant Commercial Primer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740 (6.2)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740 (6.2)</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Epoxy Polyamide Topcoat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660 (5.5)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660 (5.5)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Fire-Resistant (interior)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Flexible Primer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640 (5.3)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640 (5.3)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Flight-Test Coatings: Missile or Single Use Aircraft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420 (3.5)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420 (3.5)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Flight-Test Coatings: All Other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840 (7.0)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840 (7.0)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Fuel-Tank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720 (6.0)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720 (6.0)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High-Temperature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Insulation Covering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740 (6.2)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740 (6.2)</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Intermediate Release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750 (6.3)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750 (6.3)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Lacquer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830 (6.9)</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830 (6.9)</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lastRenderedPageBreak/>
              <w:t>Bonding Maskant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1,230 (10.3)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1,230 (10.3)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Critical Use and Line Sealer Maskant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1,020 (8.5)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1,020 (8.5)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Seal Coat Maskant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1,230 (10.3)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1,230 (10.3)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Metallized Epoxy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740 (6.2)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740 (6.2)</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Mold Release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780 (6.5)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780 (6.5)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Optical Anti-Reflective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750 (6.3)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750 (6.3)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Part Marking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Pretreatment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780 (6.5)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780 (6.5)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Rain Erosion-Resistant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Rocket Motor Nozzle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660 (5.5)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660 (5.5)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Scale Inhibitor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880 (7.3)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880 (7.3)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Screen Print Ink</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840 (7.0)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840 (7.0)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Extrudable/Rollable/Brushable Sealant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280 (2.3)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280 (2.3)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Sprayable Sealant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600 (5.0)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600 (5.0)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Silicone Insulation Material</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Solid Film Lubricant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880 (7.3)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880 (7.3)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Specialized Function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890 (7.4)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890 (7.4)</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Temporary Protective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320 (2.7)</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320 (2.7)</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Thermal Control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Wet Fastener Installation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675 (5.6)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675 (5.6)</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Wing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bl>
    <w:p w:rsidR="00EB486E" w:rsidRPr="00EB486E" w:rsidRDefault="00EB486E" w:rsidP="00EB486E">
      <w:pPr>
        <w:pStyle w:val="gpotblnote"/>
        <w:rPr>
          <w:sz w:val="22"/>
          <w:szCs w:val="22"/>
        </w:rPr>
      </w:pPr>
      <w:r w:rsidRPr="00EB486E">
        <w:rPr>
          <w:sz w:val="22"/>
          <w:szCs w:val="22"/>
          <w:vertAlign w:val="superscript"/>
        </w:rPr>
        <w:t>1</w:t>
      </w:r>
      <w:r w:rsidRPr="00EB486E">
        <w:rPr>
          <w:sz w:val="22"/>
          <w:szCs w:val="22"/>
        </w:rPr>
        <w:t xml:space="preserve"> Coating limits for HAP are expressed in terms of mass (grams or pounds) of HAP per volume (liters or gallons) of coating less water. Coating limits for VOC are expressed in terms of mass (grams or pounds) of VOC per volume (liters or gallons) of coating less water and less exempt solvent.</w:t>
      </w:r>
    </w:p>
    <w:p w:rsidR="00EB486E" w:rsidRPr="00EB486E" w:rsidRDefault="00EB486E" w:rsidP="00EB486E">
      <w:pPr>
        <w:pStyle w:val="NormalWeb"/>
        <w:rPr>
          <w:sz w:val="22"/>
          <w:szCs w:val="22"/>
        </w:rPr>
      </w:pPr>
      <w:r w:rsidRPr="00EB486E">
        <w:rPr>
          <w:sz w:val="22"/>
          <w:szCs w:val="22"/>
        </w:rPr>
        <w:t>(5) Organic HAP emissions from specialty coatings shall be limited to an organic HAP content level of no more than the HAP content limit specified in Table 1 of this section for each applicable specialty coating type.</w:t>
      </w:r>
    </w:p>
    <w:p w:rsidR="00EB486E" w:rsidRPr="00EB486E" w:rsidRDefault="00EB486E" w:rsidP="00EB486E">
      <w:pPr>
        <w:pStyle w:val="NormalWeb"/>
        <w:rPr>
          <w:sz w:val="22"/>
          <w:szCs w:val="22"/>
        </w:rPr>
      </w:pPr>
      <w:r w:rsidRPr="00EB486E">
        <w:rPr>
          <w:sz w:val="22"/>
          <w:szCs w:val="22"/>
        </w:rPr>
        <w:t>(6) VOC emissions from specialty coatings shall be limited to a VOC content level of no more than the VOC content limit specified in Table 1 of this section for each applicable specialty coating type.</w:t>
      </w:r>
    </w:p>
    <w:p w:rsidR="00EB486E" w:rsidRPr="00EB486E" w:rsidRDefault="00EB486E" w:rsidP="00EB486E">
      <w:pPr>
        <w:pStyle w:val="gpotbltitle"/>
        <w:jc w:val="left"/>
        <w:rPr>
          <w:sz w:val="22"/>
          <w:szCs w:val="22"/>
        </w:rPr>
      </w:pPr>
      <w:r w:rsidRPr="00EB486E">
        <w:rPr>
          <w:sz w:val="22"/>
          <w:szCs w:val="22"/>
        </w:rPr>
        <w:t>Table 1—Specialty Coatings—HAP and VOC Content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949"/>
        <w:gridCol w:w="1567"/>
        <w:gridCol w:w="1594"/>
      </w:tblGrid>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Coating Type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HAP Limit g/L</w:t>
            </w:r>
            <w:r w:rsidRPr="00EB486E">
              <w:rPr>
                <w:b/>
                <w:bCs/>
                <w:szCs w:val="22"/>
              </w:rPr>
              <w:br/>
              <w:t>(lb/gallon)</w:t>
            </w:r>
            <w:r w:rsidRPr="00EB486E">
              <w:rPr>
                <w:b/>
                <w:bCs/>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VOC Limit g/L</w:t>
            </w:r>
            <w:r w:rsidRPr="00EB486E">
              <w:rPr>
                <w:b/>
                <w:bCs/>
                <w:szCs w:val="22"/>
              </w:rPr>
              <w:br/>
              <w:t>(lb/gallon)</w:t>
            </w:r>
            <w:r w:rsidRPr="00EB486E">
              <w:rPr>
                <w:b/>
                <w:bCs/>
                <w:szCs w:val="22"/>
                <w:vertAlign w:val="superscript"/>
              </w:rPr>
              <w:t>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lastRenderedPageBreak/>
              <w:t>Ablative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600 (5.0)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600 (5.0)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Adhesion Promoter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890 (7.4)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890 (7.4)</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Adhesive Bonding Primers: Cured at 250 °F or below</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Adhesive Bonding Primers: Cured above 250 °F</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1030 (8.6)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1030 (8.6)</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Commercial Interior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760 (6.3)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760 (6.3)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Cyanoacrylate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1,020 (8.5)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1,020 (8.5)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Fuel Tank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620 (5.2)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620 (5.2)</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Nonstructural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360 (3.0)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360 (3.0)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Rocket Motor Bonding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890 (7.4)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890 (7.4)</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Rubber-based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Structural Autoclavable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 (0.5)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 (0.5)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Structural Nonautoclavable Adhesive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Antichafe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660 (5.5)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660 (5.5)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Bearing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620 (5.2)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620 (5.2)</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Caulking and Smoothing Compounds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Chemical Agent-Resistant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550 (4.6)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550 (4.6)</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Clear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720 (6.0)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720 (6.0)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Commercial Exterior Aerodynamic Structure Primer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650 (5.4)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650 (5.4)</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Compatible Substrate Primer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780 (6.5)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780 (6.5)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Corrosion Prevention System</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710 (5.9)</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710 (5.9)</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Cryogenic Flexible Primer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645 (5.4)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645 (5.4)</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Cryoprotective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600 (5.0)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600 (5.0)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Dry Lubricative Material</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880 (7.3)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880 (7.3)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Electric or Radiation-Effect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Electrostatic Discharge and Electromagnetic Interference (EMI)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Elevated-Temperature Skydrol-Resistant Commercial Primer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740 (6.2)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740 (6.2)</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Epoxy Polyamide Topcoat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660 (5.5)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660 (5.5)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Fire-Resistant (interior)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Flexible Primer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640 (5.3)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640 (5.3)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Flight-Test Coatings: Missile or Single Use Aircraft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420 (3.5)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420 (3.5)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Flight-Test Coatings: All Other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840 (7.0)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840 (7.0)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lastRenderedPageBreak/>
              <w:t>Fuel-Tank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720 (6.0)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720 (6.0)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High-Temperature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Insulation Covering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740 (6.2)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740 (6.2)</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Intermediate Release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750 (6.3)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750 (6.3)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Lacquer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830 (6.9)</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830 (6.9)</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Bonding Maskant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1,230 (10.3)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1,230 (10.3)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Critical Use and Line Sealer Maskant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1,020 (8.5)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1,020 (8.5)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Seal Coat Maskant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1,230 (10.3)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1,230 (10.3)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Metallized Epoxy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740 (6.2)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740 (6.2)</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Mold Release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780 (6.5)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780 (6.5)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Optical Anti-Reflective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750 (6.3)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750 (6.3)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Part Marking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Pretreatment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780 (6.5)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780 (6.5)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Rain Erosion-Resistant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Rocket Motor Nozzle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660 (5.5)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660 (5.5)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Scale Inhibitor</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880 (7.3)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880 (7.3)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Screen Print Ink</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840 (7.0)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840 (7.0)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Extrudable/Rollable/Brushable Sealant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280 (2.3)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280 (2.3)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Sprayable Sealant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600 (5.0)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600 (5.0)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Silicone Insulation Material</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Solid Film Lubricant</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880 (7.3)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880 (7.3)</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Specialized Function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890 (7.4)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890 (7.4)</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Temporary Protective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320 (2.7)</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320 (2.7)</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Thermal Control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800 (6.7)</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Wet Fastener Installation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675 (5.6)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675 (5.6)</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Wing Coating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850 (7.1)</w:t>
            </w:r>
          </w:p>
        </w:tc>
      </w:tr>
    </w:tbl>
    <w:p w:rsidR="00EB486E" w:rsidRPr="00EB486E" w:rsidRDefault="00EB486E" w:rsidP="00EB486E">
      <w:pPr>
        <w:pStyle w:val="gpotblnote"/>
        <w:rPr>
          <w:sz w:val="22"/>
          <w:szCs w:val="22"/>
        </w:rPr>
      </w:pPr>
      <w:r w:rsidRPr="00EB486E">
        <w:rPr>
          <w:sz w:val="22"/>
          <w:szCs w:val="22"/>
          <w:vertAlign w:val="superscript"/>
        </w:rPr>
        <w:t>1</w:t>
      </w:r>
      <w:r w:rsidRPr="00EB486E">
        <w:rPr>
          <w:sz w:val="22"/>
          <w:szCs w:val="22"/>
        </w:rPr>
        <w:t xml:space="preserve"> Coating limits for HAP are expressed in terms of mass (grams or pounds) of HAP per volume (liters or gallons) of coating less water. Coating limits for VOC are expressed in terms of mass (grams or pounds) of VOC per volume (liters or gallons) of coating less water and less exempt solvent.</w:t>
      </w:r>
    </w:p>
    <w:p w:rsidR="00EB486E" w:rsidRPr="00EB486E" w:rsidRDefault="00EB486E" w:rsidP="00EB486E">
      <w:pPr>
        <w:pStyle w:val="NormalWeb"/>
        <w:rPr>
          <w:sz w:val="22"/>
          <w:szCs w:val="22"/>
        </w:rPr>
      </w:pPr>
      <w:r w:rsidRPr="00EB486E">
        <w:rPr>
          <w:sz w:val="22"/>
          <w:szCs w:val="22"/>
        </w:rPr>
        <w:t xml:space="preserve">(d) </w:t>
      </w:r>
      <w:r w:rsidRPr="00EB486E">
        <w:rPr>
          <w:i/>
          <w:iCs/>
          <w:sz w:val="22"/>
          <w:szCs w:val="22"/>
        </w:rPr>
        <w:t>Controlled coatings—control system requirements.</w:t>
      </w:r>
      <w:r w:rsidRPr="00EB486E">
        <w:rPr>
          <w:sz w:val="22"/>
          <w:szCs w:val="22"/>
        </w:rPr>
        <w:t xml:space="preserve"> Each control system shall reduce the operation's organic HAP and VOC emissions to the atmosphere by 81% or greater, </w:t>
      </w:r>
      <w:proofErr w:type="gramStart"/>
      <w:r w:rsidRPr="00EB486E">
        <w:rPr>
          <w:sz w:val="22"/>
          <w:szCs w:val="22"/>
        </w:rPr>
        <w:t>taking into account</w:t>
      </w:r>
      <w:proofErr w:type="gramEnd"/>
      <w:r w:rsidRPr="00EB486E">
        <w:rPr>
          <w:sz w:val="22"/>
          <w:szCs w:val="22"/>
        </w:rPr>
        <w:t xml:space="preserve"> capture and </w:t>
      </w:r>
      <w:r w:rsidRPr="00EB486E">
        <w:rPr>
          <w:sz w:val="22"/>
          <w:szCs w:val="22"/>
        </w:rPr>
        <w:lastRenderedPageBreak/>
        <w:t xml:space="preserve">destruction or removal efficiencies, as determined using the procedures in §63.750(g) when a carbon adsorber is used and in §63.750(h) when a control device other than a carbon adsorber is used. </w:t>
      </w:r>
    </w:p>
    <w:p w:rsidR="00EB486E" w:rsidRPr="00EB486E" w:rsidRDefault="00EB486E" w:rsidP="00EB486E">
      <w:pPr>
        <w:pStyle w:val="NormalWeb"/>
        <w:rPr>
          <w:sz w:val="22"/>
          <w:szCs w:val="22"/>
        </w:rPr>
      </w:pPr>
      <w:r w:rsidRPr="00EB486E">
        <w:rPr>
          <w:sz w:val="22"/>
          <w:szCs w:val="22"/>
        </w:rPr>
        <w:t xml:space="preserve">(e) </w:t>
      </w:r>
      <w:r w:rsidRPr="00EB486E">
        <w:rPr>
          <w:i/>
          <w:iCs/>
          <w:sz w:val="22"/>
          <w:szCs w:val="22"/>
        </w:rPr>
        <w:t>Compliance methods</w:t>
      </w:r>
      <w:r w:rsidRPr="00EB486E">
        <w:rPr>
          <w:sz w:val="22"/>
          <w:szCs w:val="22"/>
        </w:rPr>
        <w:t>. Compliance with the organic HAP and VOC content limits specified in paragraphs (c)(1) through (6) of this section shall be accomplished by using the methods specified in paragraphs (e)(1) and (2) of this section either by themselves or in conjunction with one another.</w:t>
      </w:r>
    </w:p>
    <w:p w:rsidR="00EB486E" w:rsidRPr="00EB486E" w:rsidRDefault="00EB486E" w:rsidP="00EB486E">
      <w:pPr>
        <w:pStyle w:val="NormalWeb"/>
        <w:rPr>
          <w:sz w:val="22"/>
          <w:szCs w:val="22"/>
        </w:rPr>
      </w:pPr>
      <w:r w:rsidRPr="00EB486E">
        <w:rPr>
          <w:sz w:val="22"/>
          <w:szCs w:val="22"/>
        </w:rPr>
        <w:t>(1) Use primers, topcoats (including self-priming topcoats), and specialty coatings with HAP and VOC content levels equal to or less than the limits specified in paragraphs (c)(1) through (6) of this section; or</w:t>
      </w:r>
    </w:p>
    <w:p w:rsidR="00EB486E" w:rsidRPr="00EB486E" w:rsidRDefault="00EB486E" w:rsidP="00EB486E">
      <w:pPr>
        <w:pStyle w:val="NormalWeb"/>
        <w:rPr>
          <w:sz w:val="22"/>
          <w:szCs w:val="22"/>
        </w:rPr>
      </w:pPr>
      <w:r w:rsidRPr="00EB486E">
        <w:rPr>
          <w:sz w:val="22"/>
          <w:szCs w:val="22"/>
        </w:rPr>
        <w:t>(2) Use the averaging provisions described in §63.743(d).</w:t>
      </w:r>
    </w:p>
    <w:p w:rsidR="00EB486E" w:rsidRPr="00EB486E" w:rsidRDefault="00EB486E" w:rsidP="00EB486E">
      <w:pPr>
        <w:pStyle w:val="NormalWeb"/>
        <w:rPr>
          <w:sz w:val="22"/>
          <w:szCs w:val="22"/>
        </w:rPr>
      </w:pPr>
      <w:r w:rsidRPr="00EB486E">
        <w:rPr>
          <w:sz w:val="22"/>
          <w:szCs w:val="22"/>
        </w:rPr>
        <w:t xml:space="preserve">(f) </w:t>
      </w:r>
      <w:r w:rsidRPr="00EB486E">
        <w:rPr>
          <w:i/>
          <w:iCs/>
          <w:sz w:val="22"/>
          <w:szCs w:val="22"/>
        </w:rPr>
        <w:t>Application equipment</w:t>
      </w:r>
      <w:r w:rsidRPr="00EB486E">
        <w:rPr>
          <w:sz w:val="22"/>
          <w:szCs w:val="22"/>
        </w:rPr>
        <w:t>. Except as provided in paragraph (f)(3) of this section, each owner or operator of a new or existing primer, topcoat (including self-priming topcoat), or specialty coating application operation subject to this subpart in which any of the coatings contain organic HAP or VOC shall comply with the requirements specified in paragraphs (f)(1) and (f)(2) of this section.</w:t>
      </w:r>
    </w:p>
    <w:p w:rsidR="00EB486E" w:rsidRPr="00EB486E" w:rsidRDefault="00EB486E" w:rsidP="00EB486E">
      <w:pPr>
        <w:pStyle w:val="NormalWeb"/>
        <w:rPr>
          <w:sz w:val="22"/>
          <w:szCs w:val="22"/>
        </w:rPr>
      </w:pPr>
      <w:r w:rsidRPr="00EB486E">
        <w:rPr>
          <w:sz w:val="22"/>
          <w:szCs w:val="22"/>
        </w:rPr>
        <w:t>(1) All spray applied primers, topcoats (including self-priming topcoats), and specialty coatings shall be applied using one or more of the spray application techniques specified in paragraphs (f)(1)(i) through (f)(1)(v) of this section.</w:t>
      </w:r>
    </w:p>
    <w:p w:rsidR="00EB486E" w:rsidRPr="00EB486E" w:rsidRDefault="00EB486E" w:rsidP="00EB486E">
      <w:pPr>
        <w:pStyle w:val="NormalWeb"/>
        <w:rPr>
          <w:sz w:val="22"/>
          <w:szCs w:val="22"/>
        </w:rPr>
      </w:pPr>
      <w:r w:rsidRPr="00EB486E">
        <w:rPr>
          <w:sz w:val="22"/>
          <w:szCs w:val="22"/>
        </w:rPr>
        <w:t>(i) High volume low pressure (HVLP) spraying;</w:t>
      </w:r>
    </w:p>
    <w:p w:rsidR="00EB486E" w:rsidRPr="00EB486E" w:rsidRDefault="00EB486E" w:rsidP="00EB486E">
      <w:pPr>
        <w:pStyle w:val="NormalWeb"/>
        <w:rPr>
          <w:sz w:val="22"/>
          <w:szCs w:val="22"/>
        </w:rPr>
      </w:pPr>
      <w:r w:rsidRPr="00EB486E">
        <w:rPr>
          <w:sz w:val="22"/>
          <w:szCs w:val="22"/>
        </w:rPr>
        <w:t>(ii) Electrostatic spray application;</w:t>
      </w:r>
    </w:p>
    <w:p w:rsidR="00EB486E" w:rsidRPr="00EB486E" w:rsidRDefault="00EB486E" w:rsidP="00EB486E">
      <w:pPr>
        <w:pStyle w:val="NormalWeb"/>
        <w:rPr>
          <w:sz w:val="22"/>
          <w:szCs w:val="22"/>
        </w:rPr>
      </w:pPr>
      <w:r w:rsidRPr="00EB486E">
        <w:rPr>
          <w:sz w:val="22"/>
          <w:szCs w:val="22"/>
        </w:rPr>
        <w:t>(iii) Airless spray application;</w:t>
      </w:r>
    </w:p>
    <w:p w:rsidR="00EB486E" w:rsidRPr="00EB486E" w:rsidRDefault="00EB486E" w:rsidP="00EB486E">
      <w:pPr>
        <w:pStyle w:val="NormalWeb"/>
        <w:rPr>
          <w:sz w:val="22"/>
          <w:szCs w:val="22"/>
        </w:rPr>
      </w:pPr>
      <w:r w:rsidRPr="00EB486E">
        <w:rPr>
          <w:sz w:val="22"/>
          <w:szCs w:val="22"/>
        </w:rPr>
        <w:t>(iv) Air-assisted airless spray application; or</w:t>
      </w:r>
    </w:p>
    <w:p w:rsidR="00EB486E" w:rsidRPr="00EB486E" w:rsidRDefault="00EB486E" w:rsidP="00EB486E">
      <w:pPr>
        <w:pStyle w:val="NormalWeb"/>
        <w:rPr>
          <w:sz w:val="22"/>
          <w:szCs w:val="22"/>
        </w:rPr>
      </w:pPr>
      <w:r w:rsidRPr="00EB486E">
        <w:rPr>
          <w:sz w:val="22"/>
          <w:szCs w:val="22"/>
        </w:rPr>
        <w:t>(v) Any other coating spray application methods that achieve emission reductions or a transfer efficiency equivalent to or better than HVLP spray, electrostatic spray, airless spray, or air-assisted airless spray application methods as determined according to the requirements in §63.750(i).</w:t>
      </w:r>
    </w:p>
    <w:p w:rsidR="00EB486E" w:rsidRPr="00EB486E" w:rsidRDefault="00EB486E" w:rsidP="00EB486E">
      <w:pPr>
        <w:pStyle w:val="NormalWeb"/>
        <w:rPr>
          <w:sz w:val="22"/>
          <w:szCs w:val="22"/>
        </w:rPr>
      </w:pPr>
      <w:r w:rsidRPr="00EB486E">
        <w:rPr>
          <w:sz w:val="22"/>
          <w:szCs w:val="22"/>
        </w:rPr>
        <w:t xml:space="preserve">(2) All coating spray application devices used to apply primers, topcoats (including self-priming topcoats), or specialty coatings shall be operated according to company procedures, local specified operating procedures, and/or the manufacturer's specifications, whichever is most stringent, </w:t>
      </w:r>
      <w:proofErr w:type="gramStart"/>
      <w:r w:rsidRPr="00EB486E">
        <w:rPr>
          <w:sz w:val="22"/>
          <w:szCs w:val="22"/>
        </w:rPr>
        <w:t>at all times</w:t>
      </w:r>
      <w:proofErr w:type="gramEnd"/>
      <w:r w:rsidRPr="00EB486E">
        <w:rPr>
          <w:sz w:val="22"/>
          <w:szCs w:val="22"/>
        </w:rPr>
        <w:t>. Spray application equipment modified by the facility shall maintain a transfer efficiency equivalent to HVLP spray, electrostatic spray, airless spray, or air-assisted airless spray application techniques.</w:t>
      </w:r>
    </w:p>
    <w:p w:rsidR="00EB486E" w:rsidRPr="00EB486E" w:rsidRDefault="00EB486E" w:rsidP="00EB486E">
      <w:pPr>
        <w:pStyle w:val="NormalWeb"/>
        <w:rPr>
          <w:sz w:val="22"/>
          <w:szCs w:val="22"/>
        </w:rPr>
      </w:pPr>
      <w:r w:rsidRPr="00EB486E">
        <w:rPr>
          <w:sz w:val="22"/>
          <w:szCs w:val="22"/>
        </w:rPr>
        <w:t xml:space="preserve">(3) The following situations are exempt from the requirements of paragraph (f)(1) of this section: </w:t>
      </w:r>
    </w:p>
    <w:p w:rsidR="00EB486E" w:rsidRPr="00EB486E" w:rsidRDefault="00EB486E" w:rsidP="00EB486E">
      <w:pPr>
        <w:pStyle w:val="NormalWeb"/>
        <w:rPr>
          <w:sz w:val="22"/>
          <w:szCs w:val="22"/>
        </w:rPr>
      </w:pPr>
      <w:r w:rsidRPr="00EB486E">
        <w:rPr>
          <w:sz w:val="22"/>
          <w:szCs w:val="22"/>
        </w:rPr>
        <w:t>(i) Any situation that normally requires an extension on the spray gun to properly reach limited access spaces;</w:t>
      </w:r>
    </w:p>
    <w:p w:rsidR="00EB486E" w:rsidRPr="00EB486E" w:rsidRDefault="00EB486E" w:rsidP="00EB486E">
      <w:pPr>
        <w:pStyle w:val="NormalWeb"/>
        <w:rPr>
          <w:sz w:val="22"/>
          <w:szCs w:val="22"/>
        </w:rPr>
      </w:pPr>
      <w:r w:rsidRPr="00EB486E">
        <w:rPr>
          <w:sz w:val="22"/>
          <w:szCs w:val="22"/>
        </w:rPr>
        <w:t>(ii) The application of coatings that contain fillers that adversely affect atomization with HVLP spray guns;</w:t>
      </w:r>
    </w:p>
    <w:p w:rsidR="00EB486E" w:rsidRPr="00EB486E" w:rsidRDefault="00EB486E" w:rsidP="00EB486E">
      <w:pPr>
        <w:pStyle w:val="NormalWeb"/>
        <w:rPr>
          <w:sz w:val="22"/>
          <w:szCs w:val="22"/>
        </w:rPr>
      </w:pPr>
      <w:r w:rsidRPr="00EB486E">
        <w:rPr>
          <w:sz w:val="22"/>
          <w:szCs w:val="22"/>
        </w:rPr>
        <w:lastRenderedPageBreak/>
        <w:t xml:space="preserve">(iii) The application of coatings that normally have a dried film thickness of less than 0.0013 centimeter (0.0005 in.) and that the permitting agency has determined cannot be applied by any of the application methods specified in paragraph (f)(1) of this section; </w:t>
      </w:r>
    </w:p>
    <w:p w:rsidR="00EB486E" w:rsidRPr="00EB486E" w:rsidRDefault="00EB486E" w:rsidP="00EB486E">
      <w:pPr>
        <w:pStyle w:val="NormalWeb"/>
        <w:rPr>
          <w:sz w:val="22"/>
          <w:szCs w:val="22"/>
        </w:rPr>
      </w:pPr>
      <w:r w:rsidRPr="00EB486E">
        <w:rPr>
          <w:sz w:val="22"/>
          <w:szCs w:val="22"/>
        </w:rPr>
        <w:t>(iv) The use of airbrush application methods for stenciling, lettering, and other identification markings, and the spray application of no more than 3.0 fluid ounces of coating in a single application (</w:t>
      </w:r>
      <w:r w:rsidRPr="00EB486E">
        <w:rPr>
          <w:i/>
          <w:iCs/>
          <w:sz w:val="22"/>
          <w:szCs w:val="22"/>
        </w:rPr>
        <w:t>i.e.</w:t>
      </w:r>
      <w:r w:rsidRPr="00EB486E">
        <w:rPr>
          <w:sz w:val="22"/>
          <w:szCs w:val="22"/>
        </w:rPr>
        <w:t xml:space="preserve">, the total volume of a single coating formulation applied during any one day to any one aerospace vehicle or component) from a hand-held device with a paint cup capacity that is equal to or less than 3.0 fluid ounces (89 cubic centimeters). Using multiple small paint cups or refilling a small paint cup to apply more than 3.0 fluid ounces under the requirements of this paragraph is prohibited. If a paint cup liner is used in a reusable holder or cup, then the holder or cup must be designed to hold a liner with a capacity of no more than 3.0 fluid ounces. For example, a </w:t>
      </w:r>
      <w:proofErr w:type="gramStart"/>
      <w:r w:rsidRPr="00EB486E">
        <w:rPr>
          <w:sz w:val="22"/>
          <w:szCs w:val="22"/>
        </w:rPr>
        <w:t>3.0 ounce</w:t>
      </w:r>
      <w:proofErr w:type="gramEnd"/>
      <w:r w:rsidRPr="00EB486E">
        <w:rPr>
          <w:sz w:val="22"/>
          <w:szCs w:val="22"/>
        </w:rPr>
        <w:t xml:space="preserve"> liner cannot be used in a holder that can also be used with a 6.0 ounce liner under the requirements of this paragraph;</w:t>
      </w:r>
    </w:p>
    <w:p w:rsidR="00EB486E" w:rsidRPr="00EB486E" w:rsidRDefault="00EB486E" w:rsidP="00EB486E">
      <w:pPr>
        <w:pStyle w:val="NormalWeb"/>
        <w:rPr>
          <w:sz w:val="22"/>
          <w:szCs w:val="22"/>
        </w:rPr>
      </w:pPr>
      <w:r w:rsidRPr="00EB486E">
        <w:rPr>
          <w:sz w:val="22"/>
          <w:szCs w:val="22"/>
        </w:rPr>
        <w:t>(v) The use of hand-held non-refillable aerosol containers;</w:t>
      </w:r>
    </w:p>
    <w:p w:rsidR="00EB486E" w:rsidRPr="00EB486E" w:rsidRDefault="00EB486E" w:rsidP="00EB486E">
      <w:pPr>
        <w:pStyle w:val="NormalWeb"/>
        <w:rPr>
          <w:sz w:val="22"/>
          <w:szCs w:val="22"/>
        </w:rPr>
      </w:pPr>
      <w:r w:rsidRPr="00EB486E">
        <w:rPr>
          <w:sz w:val="22"/>
          <w:szCs w:val="22"/>
        </w:rPr>
        <w:t>(vi) Touch-up and repair operations;</w:t>
      </w:r>
    </w:p>
    <w:p w:rsidR="00EB486E" w:rsidRPr="00EB486E" w:rsidRDefault="00EB486E" w:rsidP="00EB486E">
      <w:pPr>
        <w:pStyle w:val="NormalWeb"/>
        <w:rPr>
          <w:sz w:val="22"/>
          <w:szCs w:val="22"/>
        </w:rPr>
      </w:pPr>
      <w:r w:rsidRPr="00EB486E">
        <w:rPr>
          <w:sz w:val="22"/>
          <w:szCs w:val="22"/>
        </w:rPr>
        <w:t>(vii) Adhesives, sealants, maskants, caulking materials, and inks; and</w:t>
      </w:r>
    </w:p>
    <w:p w:rsidR="00EB486E" w:rsidRPr="00EB486E" w:rsidRDefault="00EB486E" w:rsidP="00EB486E">
      <w:pPr>
        <w:pStyle w:val="NormalWeb"/>
        <w:rPr>
          <w:sz w:val="22"/>
          <w:szCs w:val="22"/>
        </w:rPr>
      </w:pPr>
      <w:r w:rsidRPr="00EB486E">
        <w:rPr>
          <w:sz w:val="22"/>
          <w:szCs w:val="22"/>
        </w:rPr>
        <w:t>(viii) The application of coatings that contain less than 20 grams of VOC per liter of coating.</w:t>
      </w:r>
    </w:p>
    <w:p w:rsidR="00EB486E" w:rsidRPr="00EB486E" w:rsidRDefault="00EB486E" w:rsidP="00EB486E">
      <w:pPr>
        <w:pStyle w:val="NormalWeb"/>
        <w:rPr>
          <w:sz w:val="22"/>
          <w:szCs w:val="22"/>
        </w:rPr>
      </w:pPr>
      <w:r w:rsidRPr="00EB486E">
        <w:rPr>
          <w:sz w:val="22"/>
          <w:szCs w:val="22"/>
        </w:rPr>
        <w:t xml:space="preserve">(g) </w:t>
      </w:r>
      <w:r w:rsidRPr="00EB486E">
        <w:rPr>
          <w:i/>
          <w:iCs/>
          <w:sz w:val="22"/>
          <w:szCs w:val="22"/>
        </w:rPr>
        <w:t>Inorganic HAP emissions</w:t>
      </w:r>
      <w:r w:rsidRPr="00EB486E">
        <w:rPr>
          <w:sz w:val="22"/>
          <w:szCs w:val="22"/>
        </w:rPr>
        <w:t>. Except as provided in paragraph (g)(4) of this section, each owner or operator of a new or existing primer, topcoat, or specialty coating application operation subject to this subpart in which any of the coatings that are spray-applied (as defined in §63.742) and contain inorganic HAP, shall comply with the applicable requirements in paragraphs (g)(1) through (3) of this section.</w:t>
      </w:r>
    </w:p>
    <w:p w:rsidR="00EB486E" w:rsidRPr="00EB486E" w:rsidRDefault="00EB486E" w:rsidP="00EB486E">
      <w:pPr>
        <w:pStyle w:val="NormalWeb"/>
        <w:rPr>
          <w:sz w:val="22"/>
          <w:szCs w:val="22"/>
        </w:rPr>
      </w:pPr>
      <w:r w:rsidRPr="00EB486E">
        <w:rPr>
          <w:sz w:val="22"/>
          <w:szCs w:val="22"/>
        </w:rPr>
        <w:t>(1) Apply these coatings in a booth, hangar, or portable enclosure in which air flow is directed downward onto or across the part or assembly being coated and exhausted through one or more outlets.</w:t>
      </w:r>
    </w:p>
    <w:p w:rsidR="00EB486E" w:rsidRPr="00EB486E" w:rsidRDefault="00EB486E" w:rsidP="00EB486E">
      <w:pPr>
        <w:pStyle w:val="NormalWeb"/>
        <w:rPr>
          <w:sz w:val="22"/>
          <w:szCs w:val="22"/>
        </w:rPr>
      </w:pPr>
      <w:r w:rsidRPr="00EB486E">
        <w:rPr>
          <w:sz w:val="22"/>
          <w:szCs w:val="22"/>
        </w:rPr>
        <w:t xml:space="preserve">(2) Control the air stream from this operation as follows: </w:t>
      </w:r>
    </w:p>
    <w:p w:rsidR="00EB486E" w:rsidRPr="00EB486E" w:rsidRDefault="00EB486E" w:rsidP="00EB486E">
      <w:pPr>
        <w:pStyle w:val="NormalWeb"/>
        <w:rPr>
          <w:sz w:val="22"/>
          <w:szCs w:val="22"/>
        </w:rPr>
      </w:pPr>
      <w:r w:rsidRPr="00EB486E">
        <w:rPr>
          <w:sz w:val="22"/>
          <w:szCs w:val="22"/>
        </w:rPr>
        <w:t>(i) For existing sources, the owner or operator must choose one of the following:</w:t>
      </w:r>
    </w:p>
    <w:p w:rsidR="00EB486E" w:rsidRPr="00EB486E" w:rsidRDefault="00EB486E" w:rsidP="00EB486E">
      <w:pPr>
        <w:pStyle w:val="NormalWeb"/>
        <w:rPr>
          <w:sz w:val="22"/>
          <w:szCs w:val="22"/>
        </w:rPr>
      </w:pPr>
      <w:r w:rsidRPr="00EB486E">
        <w:rPr>
          <w:sz w:val="22"/>
          <w:szCs w:val="22"/>
        </w:rPr>
        <w:t>(A) Before exhausting it to the atmosphere, pass the air stream through a dry particulate filter system certified using the methods described in §63.750(o) to meet or exceed the efficiency data points in Tables 2 and 3 of this section; or</w:t>
      </w:r>
    </w:p>
    <w:p w:rsidR="00EB486E" w:rsidRPr="00EB486E" w:rsidRDefault="00EB486E" w:rsidP="00EB486E">
      <w:pPr>
        <w:pStyle w:val="gpotbltitle"/>
        <w:jc w:val="left"/>
        <w:rPr>
          <w:sz w:val="22"/>
          <w:szCs w:val="22"/>
        </w:rPr>
      </w:pPr>
      <w:r w:rsidRPr="00EB486E">
        <w:rPr>
          <w:sz w:val="22"/>
          <w:szCs w:val="22"/>
        </w:rPr>
        <w:t>Table 2—Two-Stage Arrestor; Liquid Phase Challenge for Existing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543"/>
        <w:gridCol w:w="6567"/>
      </w:tblGrid>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Filtration efficiency</w:t>
            </w:r>
            <w:r w:rsidRPr="00EB486E">
              <w:rPr>
                <w:b/>
                <w:bCs/>
                <w:szCs w:val="22"/>
              </w:rPr>
              <w:br/>
              <w:t>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Aerodynamic particle size range, µm</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&gt;90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&gt;5.7</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&gt;50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&gt;4.1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&gt;10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&gt;2.2</w:t>
            </w:r>
          </w:p>
        </w:tc>
      </w:tr>
    </w:tbl>
    <w:p w:rsidR="00EB486E" w:rsidRPr="00EB486E" w:rsidRDefault="00EB486E" w:rsidP="00EB486E">
      <w:pPr>
        <w:pStyle w:val="gpotbltitle"/>
        <w:jc w:val="left"/>
        <w:rPr>
          <w:sz w:val="22"/>
          <w:szCs w:val="22"/>
        </w:rPr>
      </w:pPr>
      <w:r w:rsidRPr="00EB486E">
        <w:rPr>
          <w:sz w:val="22"/>
          <w:szCs w:val="22"/>
        </w:rPr>
        <w:lastRenderedPageBreak/>
        <w:t>Table 3—Two-Stage Arrestor; Solid Phase Challenge for Existing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543"/>
        <w:gridCol w:w="6567"/>
      </w:tblGrid>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Filtration efficiency</w:t>
            </w:r>
            <w:r w:rsidRPr="00EB486E">
              <w:rPr>
                <w:b/>
                <w:bCs/>
                <w:szCs w:val="22"/>
              </w:rPr>
              <w:br/>
              <w:t>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Aerodynamic particle size range, µm</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&gt;90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&gt;8.1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&gt;50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&gt;5.0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&gt;10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&gt;2.6</w:t>
            </w:r>
          </w:p>
        </w:tc>
      </w:tr>
    </w:tbl>
    <w:p w:rsidR="00EB486E" w:rsidRPr="00EB486E" w:rsidRDefault="00EB486E" w:rsidP="00EB486E">
      <w:pPr>
        <w:pStyle w:val="NormalWeb"/>
        <w:rPr>
          <w:sz w:val="22"/>
          <w:szCs w:val="22"/>
        </w:rPr>
      </w:pPr>
      <w:r w:rsidRPr="00EB486E">
        <w:rPr>
          <w:sz w:val="22"/>
          <w:szCs w:val="22"/>
        </w:rPr>
        <w:t>(B) Before exhausting it to the atmosphere, pass the air stream through a waterwash system that shall remain in operation during all coating application operations; or</w:t>
      </w:r>
    </w:p>
    <w:p w:rsidR="00EB486E" w:rsidRPr="00EB486E" w:rsidRDefault="00EB486E" w:rsidP="00EB486E">
      <w:pPr>
        <w:pStyle w:val="NormalWeb"/>
        <w:rPr>
          <w:sz w:val="22"/>
          <w:szCs w:val="22"/>
        </w:rPr>
      </w:pPr>
      <w:r w:rsidRPr="00EB486E">
        <w:rPr>
          <w:sz w:val="22"/>
          <w:szCs w:val="22"/>
        </w:rPr>
        <w:t>(C) Before exhausting it to the atmosphere, pass the air stream through an air pollution control system that meets or exceeds the efficiency data points in Tables 2 and 3 of this section and is approved by the permitting authority.</w:t>
      </w:r>
    </w:p>
    <w:p w:rsidR="00EB486E" w:rsidRPr="00EB486E" w:rsidRDefault="00EB486E" w:rsidP="00EB486E">
      <w:pPr>
        <w:pStyle w:val="NormalWeb"/>
        <w:rPr>
          <w:sz w:val="22"/>
          <w:szCs w:val="22"/>
        </w:rPr>
      </w:pPr>
      <w:r w:rsidRPr="00EB486E">
        <w:rPr>
          <w:sz w:val="22"/>
          <w:szCs w:val="22"/>
        </w:rPr>
        <w:t>(ii) For new sources, either:</w:t>
      </w:r>
    </w:p>
    <w:p w:rsidR="00EB486E" w:rsidRPr="00EB486E" w:rsidRDefault="00EB486E" w:rsidP="00EB486E">
      <w:pPr>
        <w:pStyle w:val="NormalWeb"/>
        <w:rPr>
          <w:sz w:val="22"/>
          <w:szCs w:val="22"/>
        </w:rPr>
      </w:pPr>
      <w:r w:rsidRPr="00EB486E">
        <w:rPr>
          <w:sz w:val="22"/>
          <w:szCs w:val="22"/>
        </w:rPr>
        <w:t>(A) Before exhausting it to the atmosphere, pass the air stream through a dry particulate filter system certified using the methods described in §63.750(o) to meet or exceed the efficiency data points in Tables 4 and 5 of this section; or</w:t>
      </w:r>
    </w:p>
    <w:p w:rsidR="00EB486E" w:rsidRDefault="00EB486E">
      <w:pPr>
        <w:rPr>
          <w:b/>
          <w:bCs/>
          <w:smallCaps/>
          <w:szCs w:val="22"/>
        </w:rPr>
      </w:pPr>
      <w:r>
        <w:rPr>
          <w:szCs w:val="22"/>
        </w:rPr>
        <w:br w:type="page"/>
      </w:r>
    </w:p>
    <w:p w:rsidR="00EB486E" w:rsidRPr="00EB486E" w:rsidRDefault="00EB486E" w:rsidP="00EB486E">
      <w:pPr>
        <w:pStyle w:val="gpotbltitle"/>
        <w:jc w:val="left"/>
        <w:rPr>
          <w:sz w:val="22"/>
          <w:szCs w:val="22"/>
        </w:rPr>
      </w:pPr>
      <w:r w:rsidRPr="00EB486E">
        <w:rPr>
          <w:sz w:val="22"/>
          <w:szCs w:val="22"/>
        </w:rPr>
        <w:lastRenderedPageBreak/>
        <w:t>Table 4—Three-Stage Arrestor; Liquid Phase Challenge for New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543"/>
        <w:gridCol w:w="6567"/>
      </w:tblGrid>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Filtration efficiency</w:t>
            </w:r>
            <w:r w:rsidRPr="00EB486E">
              <w:rPr>
                <w:b/>
                <w:bCs/>
                <w:szCs w:val="22"/>
              </w:rPr>
              <w:br/>
              <w:t>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Aerodynamic particle size range, µm</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&gt;95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&gt;2.0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&gt;80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&gt;1.0</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&gt;65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&gt;0.42</w:t>
            </w:r>
          </w:p>
        </w:tc>
      </w:tr>
    </w:tbl>
    <w:p w:rsidR="00EB486E" w:rsidRPr="00EB486E" w:rsidRDefault="00EB486E" w:rsidP="00EB486E">
      <w:pPr>
        <w:pStyle w:val="gpotbltitle"/>
        <w:jc w:val="left"/>
        <w:rPr>
          <w:sz w:val="22"/>
          <w:szCs w:val="22"/>
        </w:rPr>
      </w:pPr>
      <w:r w:rsidRPr="00EB486E">
        <w:rPr>
          <w:sz w:val="22"/>
          <w:szCs w:val="22"/>
        </w:rPr>
        <w:t>Table 5—Three-Stage Arrestor; Solid Phase Challenge for New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543"/>
        <w:gridCol w:w="6567"/>
      </w:tblGrid>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Filtration efficiency</w:t>
            </w:r>
            <w:r w:rsidRPr="00EB486E">
              <w:rPr>
                <w:b/>
                <w:bCs/>
                <w:szCs w:val="22"/>
              </w:rPr>
              <w:br/>
              <w:t>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Aerodynamic particle size range, µm</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&gt;95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&gt;2.5</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&gt;85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&gt;1.1</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&gt;75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&gt;0.70</w:t>
            </w:r>
          </w:p>
        </w:tc>
      </w:tr>
    </w:tbl>
    <w:p w:rsidR="00EB486E" w:rsidRPr="00EB486E" w:rsidRDefault="00EB486E" w:rsidP="00EB486E">
      <w:pPr>
        <w:pStyle w:val="NormalWeb"/>
        <w:rPr>
          <w:sz w:val="22"/>
          <w:szCs w:val="22"/>
        </w:rPr>
      </w:pPr>
      <w:r w:rsidRPr="00EB486E">
        <w:rPr>
          <w:sz w:val="22"/>
          <w:szCs w:val="22"/>
        </w:rPr>
        <w:t>(B) Before exhausting it to the atmosphere, pass the air stream through an air pollution control system that meets or exceeds the efficiency data points in Tables 4 and 5 of this section and is approved by the permitting authority.</w:t>
      </w:r>
    </w:p>
    <w:p w:rsidR="00EB486E" w:rsidRPr="00EB486E" w:rsidRDefault="00EB486E" w:rsidP="00EB486E">
      <w:pPr>
        <w:pStyle w:val="NormalWeb"/>
        <w:rPr>
          <w:sz w:val="22"/>
          <w:szCs w:val="22"/>
        </w:rPr>
      </w:pPr>
      <w:r w:rsidRPr="00EB486E">
        <w:rPr>
          <w:sz w:val="22"/>
          <w:szCs w:val="22"/>
        </w:rPr>
        <w:t>(iii) Owners or operators of new sources that have commenced construction or reconstruction after June 6, 1994 but prior to October 29, 1996 may comply with the following requirements in lieu of the requirements in paragraph (g)(2)(ii) of this section:</w:t>
      </w:r>
    </w:p>
    <w:p w:rsidR="00EB486E" w:rsidRPr="00EB486E" w:rsidRDefault="00EB486E" w:rsidP="00EB486E">
      <w:pPr>
        <w:pStyle w:val="NormalWeb"/>
        <w:rPr>
          <w:sz w:val="22"/>
          <w:szCs w:val="22"/>
        </w:rPr>
      </w:pPr>
      <w:r w:rsidRPr="00EB486E">
        <w:rPr>
          <w:sz w:val="22"/>
          <w:szCs w:val="22"/>
        </w:rPr>
        <w:t>(A) Pass the air stream through either a two-stage dry particulate filter system or a waterwash system before exhausting it to the atmosphere.</w:t>
      </w:r>
    </w:p>
    <w:p w:rsidR="00EB486E" w:rsidRPr="00EB486E" w:rsidRDefault="00EB486E" w:rsidP="00EB486E">
      <w:pPr>
        <w:pStyle w:val="NormalWeb"/>
        <w:rPr>
          <w:sz w:val="22"/>
          <w:szCs w:val="22"/>
        </w:rPr>
      </w:pPr>
      <w:r w:rsidRPr="00EB486E">
        <w:rPr>
          <w:sz w:val="22"/>
          <w:szCs w:val="22"/>
        </w:rPr>
        <w:t>(B) If the primer, topcoat, or specialty coating contains chromium or cadmium, control shall consist of a HEPA filter system, three-stage filter system, or other control system equivalent to the three-stage filter system as approved by the permitting agency.</w:t>
      </w:r>
    </w:p>
    <w:p w:rsidR="00EB486E" w:rsidRPr="00EB486E" w:rsidRDefault="00EB486E" w:rsidP="00EB486E">
      <w:pPr>
        <w:pStyle w:val="NormalWeb"/>
        <w:rPr>
          <w:sz w:val="22"/>
          <w:szCs w:val="22"/>
        </w:rPr>
      </w:pPr>
      <w:r w:rsidRPr="00EB486E">
        <w:rPr>
          <w:sz w:val="22"/>
          <w:szCs w:val="22"/>
        </w:rPr>
        <w:t>(iv) If a dry particulate filter system is used, the following requirements shall be met:</w:t>
      </w:r>
    </w:p>
    <w:p w:rsidR="00EB486E" w:rsidRPr="00EB486E" w:rsidRDefault="00EB486E" w:rsidP="00EB486E">
      <w:pPr>
        <w:pStyle w:val="NormalWeb"/>
        <w:rPr>
          <w:sz w:val="22"/>
          <w:szCs w:val="22"/>
        </w:rPr>
      </w:pPr>
      <w:r w:rsidRPr="00EB486E">
        <w:rPr>
          <w:sz w:val="22"/>
          <w:szCs w:val="22"/>
        </w:rPr>
        <w:t>(A) Maintain the system in good working order;</w:t>
      </w:r>
    </w:p>
    <w:p w:rsidR="00EB486E" w:rsidRPr="00EB486E" w:rsidRDefault="00EB486E" w:rsidP="00EB486E">
      <w:pPr>
        <w:pStyle w:val="NormalWeb"/>
        <w:rPr>
          <w:sz w:val="22"/>
          <w:szCs w:val="22"/>
        </w:rPr>
      </w:pPr>
      <w:r w:rsidRPr="00EB486E">
        <w:rPr>
          <w:sz w:val="22"/>
          <w:szCs w:val="22"/>
        </w:rPr>
        <w:t>(B) Install a differential pressure gauge across the filter banks;</w:t>
      </w:r>
    </w:p>
    <w:p w:rsidR="00EB486E" w:rsidRPr="00EB486E" w:rsidRDefault="00EB486E" w:rsidP="00EB486E">
      <w:pPr>
        <w:pStyle w:val="NormalWeb"/>
        <w:rPr>
          <w:sz w:val="22"/>
          <w:szCs w:val="22"/>
        </w:rPr>
      </w:pPr>
      <w:r w:rsidRPr="00EB486E">
        <w:rPr>
          <w:sz w:val="22"/>
          <w:szCs w:val="22"/>
        </w:rPr>
        <w:t>(C) Continuously monitor the pressure drop across the filter and read and record the pressure drop once per shift, or install an interlock system that will automatically shut down the coating spray application system if the pressure drop exceeds or falls below the filter manufacturer's recommended limit(s); and</w:t>
      </w:r>
    </w:p>
    <w:p w:rsidR="00EB486E" w:rsidRPr="00EB486E" w:rsidRDefault="00EB486E" w:rsidP="00EB486E">
      <w:pPr>
        <w:pStyle w:val="NormalWeb"/>
        <w:rPr>
          <w:sz w:val="22"/>
          <w:szCs w:val="22"/>
        </w:rPr>
      </w:pPr>
      <w:r w:rsidRPr="00EB486E">
        <w:rPr>
          <w:sz w:val="22"/>
          <w:szCs w:val="22"/>
        </w:rPr>
        <w:t>(D) Take corrective action when the pressure drop exceeds or falls below the filter manufacturer's recommended limit(s).</w:t>
      </w:r>
    </w:p>
    <w:p w:rsidR="00EB486E" w:rsidRPr="00EB486E" w:rsidRDefault="00EB486E" w:rsidP="00EB486E">
      <w:pPr>
        <w:pStyle w:val="NormalWeb"/>
        <w:rPr>
          <w:sz w:val="22"/>
          <w:szCs w:val="22"/>
        </w:rPr>
      </w:pPr>
      <w:r w:rsidRPr="00EB486E">
        <w:rPr>
          <w:sz w:val="22"/>
          <w:szCs w:val="22"/>
        </w:rPr>
        <w:lastRenderedPageBreak/>
        <w:t xml:space="preserve">(v) If a conventional waterwash system is used, continuously monitor the water flow rate and read and record the water flow rate once per shift, or install an interlock system that will automatically shut down the coating spray application system if the water flow rate falls below or exceeds the limit(s) specified by the booth manufacturer or in locally prepared operating procedures. If a pumpless system is used, continuously monitor the booth parameter(s) that indicate performance of the booth per the manufacturer's recommendations to maintain the booth within the acceptable operating efficiency range and read and record the parameters once per shift, or install an interlock system that will automatically shut down the coating spray application system if the booth parameters are outside the parameter range in the manufacturer's recommendations. </w:t>
      </w:r>
    </w:p>
    <w:p w:rsidR="00EB486E" w:rsidRPr="00EB486E" w:rsidRDefault="00EB486E" w:rsidP="00EB486E">
      <w:pPr>
        <w:pStyle w:val="NormalWeb"/>
        <w:rPr>
          <w:sz w:val="22"/>
          <w:szCs w:val="22"/>
        </w:rPr>
      </w:pPr>
      <w:r w:rsidRPr="00EB486E">
        <w:rPr>
          <w:sz w:val="22"/>
          <w:szCs w:val="22"/>
        </w:rPr>
        <w:t xml:space="preserve">(3) If the pressure drop across the dry particulate filter system, as recorded pursuant to §63.752(d)(1), is outside the limit(s) specified by the filter manufacturer or in locally prepared operating procedures, shut down the operation immediately and take corrective action. If the water path in the waterwash system fails the visual continuity/flow characteristics check, or the water flow rate recorded pursuant to §63.752(d)(2) exceeds the limit(s) specified by the booth manufacturer or in locally prepared operating procedures, or the booth manufacturer's or locally prepared maintenance procedures for the filter or waterwash system have not been performed as scheduled, shut down the operation immediately and take corrective action. The operation shall not be resumed until the pressure drop or water flow rate is returned within the specified limit(s). </w:t>
      </w:r>
    </w:p>
    <w:p w:rsidR="00EB486E" w:rsidRPr="00EB486E" w:rsidRDefault="00EB486E" w:rsidP="00EB486E">
      <w:pPr>
        <w:pStyle w:val="NormalWeb"/>
        <w:rPr>
          <w:sz w:val="22"/>
          <w:szCs w:val="22"/>
        </w:rPr>
      </w:pPr>
      <w:r w:rsidRPr="00EB486E">
        <w:rPr>
          <w:sz w:val="22"/>
          <w:szCs w:val="22"/>
        </w:rPr>
        <w:t xml:space="preserve">(4) The requirements of paragraphs (g)(1) through (g)(3) of this section do not apply to the following: </w:t>
      </w:r>
    </w:p>
    <w:p w:rsidR="00EB486E" w:rsidRPr="00EB486E" w:rsidRDefault="00EB486E" w:rsidP="00EB486E">
      <w:pPr>
        <w:pStyle w:val="NormalWeb"/>
        <w:rPr>
          <w:sz w:val="22"/>
          <w:szCs w:val="22"/>
        </w:rPr>
      </w:pPr>
      <w:r w:rsidRPr="00EB486E">
        <w:rPr>
          <w:sz w:val="22"/>
          <w:szCs w:val="22"/>
        </w:rPr>
        <w:t xml:space="preserve">(i) Touch-up of scratched surfaces or damaged paint; </w:t>
      </w:r>
    </w:p>
    <w:p w:rsidR="00EB486E" w:rsidRPr="00EB486E" w:rsidRDefault="00EB486E" w:rsidP="00EB486E">
      <w:pPr>
        <w:pStyle w:val="NormalWeb"/>
        <w:rPr>
          <w:sz w:val="22"/>
          <w:szCs w:val="22"/>
        </w:rPr>
      </w:pPr>
      <w:r w:rsidRPr="00EB486E">
        <w:rPr>
          <w:sz w:val="22"/>
          <w:szCs w:val="22"/>
        </w:rPr>
        <w:t xml:space="preserve">(ii) Hole daubing for fasteners; </w:t>
      </w:r>
    </w:p>
    <w:p w:rsidR="00EB486E" w:rsidRPr="00EB486E" w:rsidRDefault="00EB486E" w:rsidP="00EB486E">
      <w:pPr>
        <w:pStyle w:val="NormalWeb"/>
        <w:rPr>
          <w:sz w:val="22"/>
          <w:szCs w:val="22"/>
        </w:rPr>
      </w:pPr>
      <w:r w:rsidRPr="00EB486E">
        <w:rPr>
          <w:sz w:val="22"/>
          <w:szCs w:val="22"/>
        </w:rPr>
        <w:t xml:space="preserve">(iii) Touch-up of trimmed edges; </w:t>
      </w:r>
    </w:p>
    <w:p w:rsidR="00EB486E" w:rsidRPr="00EB486E" w:rsidRDefault="00EB486E" w:rsidP="00EB486E">
      <w:pPr>
        <w:pStyle w:val="NormalWeb"/>
        <w:rPr>
          <w:sz w:val="22"/>
          <w:szCs w:val="22"/>
        </w:rPr>
      </w:pPr>
      <w:r w:rsidRPr="00EB486E">
        <w:rPr>
          <w:sz w:val="22"/>
          <w:szCs w:val="22"/>
        </w:rPr>
        <w:t xml:space="preserve">(iv) Coating prior to joining dissimilar metal components; </w:t>
      </w:r>
    </w:p>
    <w:p w:rsidR="00EB486E" w:rsidRPr="00EB486E" w:rsidRDefault="00EB486E" w:rsidP="00EB486E">
      <w:pPr>
        <w:pStyle w:val="NormalWeb"/>
        <w:rPr>
          <w:sz w:val="22"/>
          <w:szCs w:val="22"/>
        </w:rPr>
      </w:pPr>
      <w:r w:rsidRPr="00EB486E">
        <w:rPr>
          <w:sz w:val="22"/>
          <w:szCs w:val="22"/>
        </w:rPr>
        <w:t xml:space="preserve">(v) Stencil operations performed by brush or air brush; </w:t>
      </w:r>
    </w:p>
    <w:p w:rsidR="00EB486E" w:rsidRPr="00EB486E" w:rsidRDefault="00EB486E" w:rsidP="00EB486E">
      <w:pPr>
        <w:pStyle w:val="NormalWeb"/>
        <w:rPr>
          <w:sz w:val="22"/>
          <w:szCs w:val="22"/>
        </w:rPr>
      </w:pPr>
      <w:r w:rsidRPr="00EB486E">
        <w:rPr>
          <w:sz w:val="22"/>
          <w:szCs w:val="22"/>
        </w:rPr>
        <w:t xml:space="preserve">(vi) Section joining; </w:t>
      </w:r>
    </w:p>
    <w:p w:rsidR="00EB486E" w:rsidRPr="00EB486E" w:rsidRDefault="00EB486E" w:rsidP="00EB486E">
      <w:pPr>
        <w:pStyle w:val="NormalWeb"/>
        <w:rPr>
          <w:sz w:val="22"/>
          <w:szCs w:val="22"/>
        </w:rPr>
      </w:pPr>
      <w:r w:rsidRPr="00EB486E">
        <w:rPr>
          <w:sz w:val="22"/>
          <w:szCs w:val="22"/>
        </w:rPr>
        <w:t xml:space="preserve">(vii) Touch-up of bushings and other similar parts; </w:t>
      </w:r>
    </w:p>
    <w:p w:rsidR="00EB486E" w:rsidRPr="00EB486E" w:rsidRDefault="00EB486E" w:rsidP="00EB486E">
      <w:pPr>
        <w:pStyle w:val="NormalWeb"/>
        <w:rPr>
          <w:sz w:val="22"/>
          <w:szCs w:val="22"/>
        </w:rPr>
      </w:pPr>
      <w:r w:rsidRPr="00EB486E">
        <w:rPr>
          <w:sz w:val="22"/>
          <w:szCs w:val="22"/>
        </w:rPr>
        <w:t>(viii) Sealant detackifying;</w:t>
      </w:r>
    </w:p>
    <w:p w:rsidR="00EB486E" w:rsidRPr="00EB486E" w:rsidRDefault="00EB486E" w:rsidP="00EB486E">
      <w:pPr>
        <w:pStyle w:val="NormalWeb"/>
        <w:rPr>
          <w:sz w:val="22"/>
          <w:szCs w:val="22"/>
        </w:rPr>
      </w:pPr>
      <w:r w:rsidRPr="00EB486E">
        <w:rPr>
          <w:sz w:val="22"/>
          <w:szCs w:val="22"/>
        </w:rPr>
        <w:t>(ix) Spray application of primers, topcoats, and specialty coatings in an area identified in a title V permit, where the permitting authority has determined that it is not technically feasible to spray apply coatings to the parts in a booth;</w:t>
      </w:r>
    </w:p>
    <w:p w:rsidR="00EB486E" w:rsidRPr="00EB486E" w:rsidRDefault="00EB486E" w:rsidP="00EB486E">
      <w:pPr>
        <w:pStyle w:val="NormalWeb"/>
        <w:rPr>
          <w:sz w:val="22"/>
          <w:szCs w:val="22"/>
        </w:rPr>
      </w:pPr>
      <w:r w:rsidRPr="00EB486E">
        <w:rPr>
          <w:sz w:val="22"/>
          <w:szCs w:val="22"/>
        </w:rPr>
        <w:t>(x) The use of hand-held non-refillable aerosol containers; and</w:t>
      </w:r>
    </w:p>
    <w:p w:rsidR="00EB486E" w:rsidRPr="00EB486E" w:rsidRDefault="00EB486E" w:rsidP="00EB486E">
      <w:pPr>
        <w:pStyle w:val="NormalWeb"/>
        <w:rPr>
          <w:sz w:val="22"/>
          <w:szCs w:val="22"/>
        </w:rPr>
      </w:pPr>
      <w:r w:rsidRPr="00EB486E">
        <w:rPr>
          <w:sz w:val="22"/>
          <w:szCs w:val="22"/>
        </w:rPr>
        <w:t>(xi) The spray application of no more than 3.0 fluid ounces of coating in a single application (</w:t>
      </w:r>
      <w:r w:rsidRPr="00EB486E">
        <w:rPr>
          <w:i/>
          <w:iCs/>
          <w:sz w:val="22"/>
          <w:szCs w:val="22"/>
        </w:rPr>
        <w:t>i.e.</w:t>
      </w:r>
      <w:r w:rsidRPr="00EB486E">
        <w:rPr>
          <w:sz w:val="22"/>
          <w:szCs w:val="22"/>
        </w:rPr>
        <w:t xml:space="preserve">, the total volume of a single coating formulation applied during any one day to any one aerospace vehicle or component) from a hand-held device with a paint cup capacity that is equal to or less than 3.0 fluid ounces (89 cubic centimeters). Using multiple small paint cups or refilling a small paint cup to apply more than 3.0 fluid ounces under the requirements of this paragraph is prohibited. If a paint cup liner is used in a reusable holder or cup, then the holder or cup must be designed to hold a liner with a capacity of no more than 3.0 fluid ounces. For example, </w:t>
      </w:r>
      <w:r w:rsidRPr="00EB486E">
        <w:rPr>
          <w:sz w:val="22"/>
          <w:szCs w:val="22"/>
        </w:rPr>
        <w:lastRenderedPageBreak/>
        <w:t xml:space="preserve">under the requirements of this paragraph, a </w:t>
      </w:r>
      <w:proofErr w:type="gramStart"/>
      <w:r w:rsidRPr="00EB486E">
        <w:rPr>
          <w:sz w:val="22"/>
          <w:szCs w:val="22"/>
        </w:rPr>
        <w:t>3.0 ounce</w:t>
      </w:r>
      <w:proofErr w:type="gramEnd"/>
      <w:r w:rsidRPr="00EB486E">
        <w:rPr>
          <w:sz w:val="22"/>
          <w:szCs w:val="22"/>
        </w:rPr>
        <w:t xml:space="preserve"> liner cannot be used in a holder that can also be used with a 6.0 ounce liner.</w:t>
      </w:r>
    </w:p>
    <w:p w:rsidR="00EB486E" w:rsidRPr="00EB486E" w:rsidRDefault="00EB486E" w:rsidP="00EB486E">
      <w:pPr>
        <w:pStyle w:val="cita"/>
        <w:rPr>
          <w:sz w:val="22"/>
          <w:szCs w:val="22"/>
        </w:rPr>
      </w:pPr>
      <w:r w:rsidRPr="00EB486E">
        <w:rPr>
          <w:sz w:val="22"/>
          <w:szCs w:val="22"/>
        </w:rPr>
        <w:t>[60 FR 45956, Sept. 1, 1996, as amended at 63 FR 15019, Mar. 27, 1998; 63 FR 46533, Sept. 1, 1998; 65 FR 76945, Dec. 8, 2000; 80 FR 76181, Dec. 7, 2015]</w:t>
      </w:r>
    </w:p>
    <w:p w:rsidR="00EB486E" w:rsidRPr="00EB486E" w:rsidRDefault="00EB486E" w:rsidP="00EB486E">
      <w:pPr>
        <w:pStyle w:val="Heading2"/>
        <w:rPr>
          <w:rFonts w:ascii="Times New Roman" w:hAnsi="Times New Roman" w:cs="Times New Roman"/>
          <w:sz w:val="22"/>
          <w:szCs w:val="22"/>
        </w:rPr>
      </w:pPr>
      <w:bookmarkStart w:id="38" w:name="se40.12.63_1746"/>
      <w:bookmarkEnd w:id="38"/>
      <w:r w:rsidRPr="00EB486E">
        <w:rPr>
          <w:rFonts w:ascii="Times New Roman" w:hAnsi="Times New Roman" w:cs="Times New Roman"/>
          <w:sz w:val="22"/>
          <w:szCs w:val="22"/>
        </w:rPr>
        <w:t>§63.746   Standards: Depainting operations.</w:t>
      </w:r>
    </w:p>
    <w:p w:rsidR="00EB486E" w:rsidRPr="00EB486E" w:rsidRDefault="00EB486E" w:rsidP="00EB486E">
      <w:pPr>
        <w:pStyle w:val="NormalWeb"/>
        <w:rPr>
          <w:sz w:val="22"/>
          <w:szCs w:val="22"/>
        </w:rPr>
      </w:pPr>
      <w:r w:rsidRPr="00EB486E">
        <w:rPr>
          <w:sz w:val="22"/>
          <w:szCs w:val="22"/>
        </w:rPr>
        <w:t xml:space="preserve">(a) </w:t>
      </w:r>
      <w:r w:rsidRPr="00EB486E">
        <w:rPr>
          <w:i/>
          <w:iCs/>
          <w:sz w:val="22"/>
          <w:szCs w:val="22"/>
        </w:rPr>
        <w:t>Applicability.</w:t>
      </w:r>
      <w:r w:rsidRPr="00EB486E">
        <w:rPr>
          <w:sz w:val="22"/>
          <w:szCs w:val="22"/>
        </w:rPr>
        <w:t xml:space="preserve"> Each owner or operator of a new or existing depainting operation subject to this subpart shall comply with the requirements in paragraphs (a)(1) through (a)(3) of this section, and with the requirements specified in paragraph (b) where there are no controls for organic HAP, or paragraph (c) where organic HAP </w:t>
      </w:r>
      <w:proofErr w:type="gramStart"/>
      <w:r w:rsidRPr="00EB486E">
        <w:rPr>
          <w:sz w:val="22"/>
          <w:szCs w:val="22"/>
        </w:rPr>
        <w:t>are</w:t>
      </w:r>
      <w:proofErr w:type="gramEnd"/>
      <w:r w:rsidRPr="00EB486E">
        <w:rPr>
          <w:sz w:val="22"/>
          <w:szCs w:val="22"/>
        </w:rPr>
        <w:t xml:space="preserve"> controlled using a control system. This section does not apply to an aerospace manufacturing or rework facility that depaints six or less completed aerospace vehicles in a calendar year.</w:t>
      </w:r>
    </w:p>
    <w:p w:rsidR="00EB486E" w:rsidRPr="00EB486E" w:rsidRDefault="00EB486E" w:rsidP="00EB486E">
      <w:pPr>
        <w:pStyle w:val="NormalWeb"/>
        <w:rPr>
          <w:sz w:val="22"/>
          <w:szCs w:val="22"/>
        </w:rPr>
      </w:pPr>
      <w:r w:rsidRPr="00EB486E">
        <w:rPr>
          <w:sz w:val="22"/>
          <w:szCs w:val="22"/>
        </w:rPr>
        <w:t xml:space="preserve">(1) The provisions of this section apply to the depainting of the outer surface areas of completed aerospace vehicles, including the fuselage, wings, and vertical and horizontal stabilizers of the aircraft, and the outer casing and stabilizers of missiles and rockets. These provisions do not apply to the depainting of parts or units normally removed from the aerospace vehicle for depainting. However, depainting of wings and stabilizers is always subject to the requirements of this section regardless of whether their removal is considered by the owner or operator to be normal practice for depainting. </w:t>
      </w:r>
    </w:p>
    <w:p w:rsidR="00EB486E" w:rsidRPr="00EB486E" w:rsidRDefault="00EB486E" w:rsidP="00EB486E">
      <w:pPr>
        <w:pStyle w:val="NormalWeb"/>
        <w:rPr>
          <w:sz w:val="22"/>
          <w:szCs w:val="22"/>
        </w:rPr>
      </w:pPr>
      <w:r w:rsidRPr="00EB486E">
        <w:rPr>
          <w:sz w:val="22"/>
          <w:szCs w:val="22"/>
        </w:rPr>
        <w:t xml:space="preserve">(2) Aerospace vehicles or components that are intended for public display, no longer operational, and not easily capable of being moved are exempt from the requirements of this section. </w:t>
      </w:r>
    </w:p>
    <w:p w:rsidR="00EB486E" w:rsidRPr="00EB486E" w:rsidRDefault="00EB486E" w:rsidP="00EB486E">
      <w:pPr>
        <w:pStyle w:val="NormalWeb"/>
        <w:rPr>
          <w:sz w:val="22"/>
          <w:szCs w:val="22"/>
        </w:rPr>
      </w:pPr>
      <w:r w:rsidRPr="00EB486E">
        <w:rPr>
          <w:sz w:val="22"/>
          <w:szCs w:val="22"/>
        </w:rPr>
        <w:t xml:space="preserve">(3) The following depainting operations are exempt from the requirements of this section: </w:t>
      </w:r>
    </w:p>
    <w:p w:rsidR="00EB486E" w:rsidRPr="00EB486E" w:rsidRDefault="00EB486E" w:rsidP="00EB486E">
      <w:pPr>
        <w:pStyle w:val="NormalWeb"/>
        <w:rPr>
          <w:sz w:val="22"/>
          <w:szCs w:val="22"/>
        </w:rPr>
      </w:pPr>
      <w:r w:rsidRPr="00EB486E">
        <w:rPr>
          <w:sz w:val="22"/>
          <w:szCs w:val="22"/>
        </w:rPr>
        <w:t xml:space="preserve">(i) Depainting of radomes; and </w:t>
      </w:r>
    </w:p>
    <w:p w:rsidR="00EB486E" w:rsidRPr="00EB486E" w:rsidRDefault="00EB486E" w:rsidP="00EB486E">
      <w:pPr>
        <w:pStyle w:val="NormalWeb"/>
        <w:rPr>
          <w:sz w:val="22"/>
          <w:szCs w:val="22"/>
        </w:rPr>
      </w:pPr>
      <w:r w:rsidRPr="00EB486E">
        <w:rPr>
          <w:sz w:val="22"/>
          <w:szCs w:val="22"/>
        </w:rPr>
        <w:t xml:space="preserve">(ii) Depainting of parts, subassemblies, and assemblies normally removed from the primary aircraft structure before depainting. </w:t>
      </w:r>
    </w:p>
    <w:p w:rsidR="00EB486E" w:rsidRPr="00EB486E" w:rsidRDefault="00EB486E" w:rsidP="00EB486E">
      <w:pPr>
        <w:pStyle w:val="NormalWeb"/>
        <w:rPr>
          <w:sz w:val="22"/>
          <w:szCs w:val="22"/>
        </w:rPr>
      </w:pPr>
      <w:r w:rsidRPr="00EB486E">
        <w:rPr>
          <w:sz w:val="22"/>
          <w:szCs w:val="22"/>
        </w:rPr>
        <w:t xml:space="preserve">(b)(1) </w:t>
      </w:r>
      <w:r w:rsidRPr="00EB486E">
        <w:rPr>
          <w:i/>
          <w:iCs/>
          <w:sz w:val="22"/>
          <w:szCs w:val="22"/>
        </w:rPr>
        <w:t>HAP emissions—non-HAP chemical strippers and technologies.</w:t>
      </w:r>
      <w:r w:rsidRPr="00EB486E">
        <w:rPr>
          <w:sz w:val="22"/>
          <w:szCs w:val="22"/>
        </w:rPr>
        <w:t xml:space="preserve"> Except as provided in paragraphs (b)(2) and (b)(3) of this section, each owner or operator of a new or existing aerospace depainting operation subject to this subpart shall emit no organic HAP from chemical stripping formulations and agents or chemical paint softeners.</w:t>
      </w:r>
    </w:p>
    <w:p w:rsidR="00EB486E" w:rsidRPr="00EB486E" w:rsidRDefault="00EB486E" w:rsidP="00EB486E">
      <w:pPr>
        <w:pStyle w:val="NormalWeb"/>
        <w:rPr>
          <w:sz w:val="22"/>
          <w:szCs w:val="22"/>
        </w:rPr>
      </w:pPr>
      <w:r w:rsidRPr="00EB486E">
        <w:rPr>
          <w:sz w:val="22"/>
          <w:szCs w:val="22"/>
        </w:rPr>
        <w:t xml:space="preserve">(2) Where non-chemical based equipment is used to comply with paragraph (b)(1) of this section, either in total or in part, each owner or operator shall operate and maintain the equipment according to the manufacturer's specifications or locally prepared operating procedures. During periods of malfunctions of such equipment, each owner or operator may use substitute materials during the repair period provided the substitute materials used are those available that minimize organic HAP emissions. In no event shall substitute materials be used for more than 15 days annually, unless such materials are organic HAP-free. </w:t>
      </w:r>
    </w:p>
    <w:p w:rsidR="00EB486E" w:rsidRPr="00EB486E" w:rsidRDefault="00EB486E" w:rsidP="00EB486E">
      <w:pPr>
        <w:pStyle w:val="NormalWeb"/>
        <w:rPr>
          <w:sz w:val="22"/>
          <w:szCs w:val="22"/>
        </w:rPr>
      </w:pPr>
      <w:r w:rsidRPr="00EB486E">
        <w:rPr>
          <w:sz w:val="22"/>
          <w:szCs w:val="22"/>
        </w:rPr>
        <w:t>(3) Each owner or operator of a new or existing depainting operation shall not, on an annual average basis, use more than 26 gallons of organic HAP-containing chemical strippers or alternatively 190 pounds of organic HAP per commercial aircraft depainted; or more than 50 gallons of organic HAP-containing chemical strippers or alternatively 365 pounds of organic HAP per military aircraft depainted for spot stripping and decal removal.</w:t>
      </w:r>
    </w:p>
    <w:p w:rsidR="00EB486E" w:rsidRPr="00EB486E" w:rsidRDefault="00EB486E" w:rsidP="00EB486E">
      <w:pPr>
        <w:pStyle w:val="NormalWeb"/>
        <w:rPr>
          <w:sz w:val="22"/>
          <w:szCs w:val="22"/>
        </w:rPr>
      </w:pPr>
      <w:r w:rsidRPr="00EB486E">
        <w:rPr>
          <w:sz w:val="22"/>
          <w:szCs w:val="22"/>
        </w:rPr>
        <w:lastRenderedPageBreak/>
        <w:t xml:space="preserve">(4) Each owner or operator of a new or existing depainting operation complying with paragraph (b)(2), that generates airborne inorganic HAP emissions from dry media blasting equipment, shall also comply with the requirements specified in paragraphs (b)(4)(i) through (b)(4)(v) of this section. </w:t>
      </w:r>
    </w:p>
    <w:p w:rsidR="00EB486E" w:rsidRPr="00EB486E" w:rsidRDefault="00EB486E" w:rsidP="00EB486E">
      <w:pPr>
        <w:pStyle w:val="NormalWeb"/>
        <w:rPr>
          <w:sz w:val="22"/>
          <w:szCs w:val="22"/>
        </w:rPr>
      </w:pPr>
      <w:r w:rsidRPr="00EB486E">
        <w:rPr>
          <w:sz w:val="22"/>
          <w:szCs w:val="22"/>
        </w:rPr>
        <w:t>(i) Perform the depainting operation in an enclosed area, unless a closed-cycle depainting system is used.</w:t>
      </w:r>
    </w:p>
    <w:p w:rsidR="00EB486E" w:rsidRPr="00EB486E" w:rsidRDefault="00EB486E" w:rsidP="00EB486E">
      <w:pPr>
        <w:pStyle w:val="NormalWeb"/>
        <w:rPr>
          <w:sz w:val="22"/>
          <w:szCs w:val="22"/>
        </w:rPr>
      </w:pPr>
      <w:r w:rsidRPr="00EB486E">
        <w:rPr>
          <w:sz w:val="22"/>
          <w:szCs w:val="22"/>
        </w:rPr>
        <w:t>(ii)(A) For existing sources, pass any air stream removed from the enclosed area or closed-cycle depainting system through a dry particulate filter system, certified using the method described in §63.750(o) to meet or exceed the efficiency data points in Tables 2 and 3 of §63.745, through a baghouse, or through a waterwash system before exhausting it to the atmosphere.</w:t>
      </w:r>
    </w:p>
    <w:p w:rsidR="00EB486E" w:rsidRPr="00EB486E" w:rsidRDefault="00EB486E" w:rsidP="00EB486E">
      <w:pPr>
        <w:pStyle w:val="NormalWeb"/>
        <w:rPr>
          <w:sz w:val="22"/>
          <w:szCs w:val="22"/>
        </w:rPr>
      </w:pPr>
      <w:r w:rsidRPr="00EB486E">
        <w:rPr>
          <w:sz w:val="22"/>
          <w:szCs w:val="22"/>
        </w:rPr>
        <w:t>(B) For new sources, pass any air stream removed from the enclosed area or closed-cycle depainting system through a dry particulate filter system certified using the method described in §63.750(o) to meet or exceed the efficiency data points in Tables 4 and 5 of §63.745 or through a baghouse before exhausting it to the atmosphere.</w:t>
      </w:r>
    </w:p>
    <w:p w:rsidR="00EB486E" w:rsidRPr="00EB486E" w:rsidRDefault="00EB486E" w:rsidP="00EB486E">
      <w:pPr>
        <w:pStyle w:val="NormalWeb"/>
        <w:rPr>
          <w:sz w:val="22"/>
          <w:szCs w:val="22"/>
        </w:rPr>
      </w:pPr>
      <w:r w:rsidRPr="00EB486E">
        <w:rPr>
          <w:sz w:val="22"/>
          <w:szCs w:val="22"/>
        </w:rPr>
        <w:t>(C) Owners or operators of new sources that have commenced construction or reconstruction after June 6, 1994 but prior to October 29, 1996 may comply with the following requirements in lieu of the requirements in paragraph (b)(4)(ii)(B) of this section:</w:t>
      </w:r>
    </w:p>
    <w:p w:rsidR="00EB486E" w:rsidRPr="00EB486E" w:rsidRDefault="00EB486E" w:rsidP="00EB486E">
      <w:pPr>
        <w:pStyle w:val="NormalWeb"/>
        <w:rPr>
          <w:sz w:val="22"/>
          <w:szCs w:val="22"/>
        </w:rPr>
      </w:pPr>
      <w:r w:rsidRPr="00EB486E">
        <w:rPr>
          <w:sz w:val="22"/>
          <w:szCs w:val="22"/>
        </w:rPr>
        <w:t>(</w:t>
      </w:r>
      <w:r w:rsidRPr="00EB486E">
        <w:rPr>
          <w:i/>
          <w:iCs/>
          <w:sz w:val="22"/>
          <w:szCs w:val="22"/>
        </w:rPr>
        <w:t>1</w:t>
      </w:r>
      <w:r w:rsidRPr="00EB486E">
        <w:rPr>
          <w:sz w:val="22"/>
          <w:szCs w:val="22"/>
        </w:rPr>
        <w:t>) Pass the air stream through either a two-stage dry particulate filter system or a waterwash system before exhausting it to the atmosphere.</w:t>
      </w:r>
    </w:p>
    <w:p w:rsidR="00EB486E" w:rsidRPr="00EB486E" w:rsidRDefault="00EB486E" w:rsidP="00EB486E">
      <w:pPr>
        <w:pStyle w:val="NormalWeb"/>
        <w:rPr>
          <w:sz w:val="22"/>
          <w:szCs w:val="22"/>
        </w:rPr>
      </w:pPr>
      <w:r w:rsidRPr="00EB486E">
        <w:rPr>
          <w:sz w:val="22"/>
          <w:szCs w:val="22"/>
        </w:rPr>
        <w:t>(</w:t>
      </w:r>
      <w:r w:rsidRPr="00EB486E">
        <w:rPr>
          <w:i/>
          <w:iCs/>
          <w:sz w:val="22"/>
          <w:szCs w:val="22"/>
        </w:rPr>
        <w:t>2</w:t>
      </w:r>
      <w:r w:rsidRPr="00EB486E">
        <w:rPr>
          <w:sz w:val="22"/>
          <w:szCs w:val="22"/>
        </w:rPr>
        <w:t>) If the coating being removed contains chromium or cadmium, control shall consist of a HEPA filter system, three-stage filter system, or other control system equivalent to the three-stage filter system as approved by the permitting agency.</w:t>
      </w:r>
    </w:p>
    <w:p w:rsidR="00EB486E" w:rsidRPr="00EB486E" w:rsidRDefault="00EB486E" w:rsidP="00EB486E">
      <w:pPr>
        <w:pStyle w:val="NormalWeb"/>
        <w:rPr>
          <w:sz w:val="22"/>
          <w:szCs w:val="22"/>
        </w:rPr>
      </w:pPr>
      <w:r w:rsidRPr="00EB486E">
        <w:rPr>
          <w:sz w:val="22"/>
          <w:szCs w:val="22"/>
        </w:rPr>
        <w:t xml:space="preserve">(iii) If a dry particulate filter system is used, the following requirements shall be met: </w:t>
      </w:r>
    </w:p>
    <w:p w:rsidR="00EB486E" w:rsidRPr="00EB486E" w:rsidRDefault="00EB486E" w:rsidP="00EB486E">
      <w:pPr>
        <w:pStyle w:val="NormalWeb"/>
        <w:rPr>
          <w:sz w:val="22"/>
          <w:szCs w:val="22"/>
        </w:rPr>
      </w:pPr>
      <w:r w:rsidRPr="00EB486E">
        <w:rPr>
          <w:sz w:val="22"/>
          <w:szCs w:val="22"/>
        </w:rPr>
        <w:t xml:space="preserve">(A) Maintain the system in good working order; </w:t>
      </w:r>
    </w:p>
    <w:p w:rsidR="00EB486E" w:rsidRPr="00EB486E" w:rsidRDefault="00EB486E" w:rsidP="00EB486E">
      <w:pPr>
        <w:pStyle w:val="NormalWeb"/>
        <w:rPr>
          <w:sz w:val="22"/>
          <w:szCs w:val="22"/>
        </w:rPr>
      </w:pPr>
      <w:r w:rsidRPr="00EB486E">
        <w:rPr>
          <w:sz w:val="22"/>
          <w:szCs w:val="22"/>
        </w:rPr>
        <w:t xml:space="preserve">(B) Install a differential pressure gauge across the filter banks; </w:t>
      </w:r>
    </w:p>
    <w:p w:rsidR="00EB486E" w:rsidRPr="00EB486E" w:rsidRDefault="00EB486E" w:rsidP="00EB486E">
      <w:pPr>
        <w:pStyle w:val="NormalWeb"/>
        <w:rPr>
          <w:sz w:val="22"/>
          <w:szCs w:val="22"/>
        </w:rPr>
      </w:pPr>
      <w:r w:rsidRPr="00EB486E">
        <w:rPr>
          <w:sz w:val="22"/>
          <w:szCs w:val="22"/>
        </w:rPr>
        <w:t>(C) Continuously monitor the pressure drop across the filter, and read and record the pressure drop once per shift; and</w:t>
      </w:r>
    </w:p>
    <w:p w:rsidR="00EB486E" w:rsidRPr="00EB486E" w:rsidRDefault="00EB486E" w:rsidP="00EB486E">
      <w:pPr>
        <w:pStyle w:val="NormalWeb"/>
        <w:rPr>
          <w:sz w:val="22"/>
          <w:szCs w:val="22"/>
        </w:rPr>
      </w:pPr>
      <w:r w:rsidRPr="00EB486E">
        <w:rPr>
          <w:sz w:val="22"/>
          <w:szCs w:val="22"/>
        </w:rPr>
        <w:t xml:space="preserve">(D) Take corrective action when the pressure drop exceeds or falls below the filter manufacturer's recommended limits. </w:t>
      </w:r>
    </w:p>
    <w:p w:rsidR="00EB486E" w:rsidRPr="00EB486E" w:rsidRDefault="00EB486E" w:rsidP="00EB486E">
      <w:pPr>
        <w:pStyle w:val="NormalWeb"/>
        <w:rPr>
          <w:sz w:val="22"/>
          <w:szCs w:val="22"/>
        </w:rPr>
      </w:pPr>
      <w:r w:rsidRPr="00EB486E">
        <w:rPr>
          <w:sz w:val="22"/>
          <w:szCs w:val="22"/>
        </w:rPr>
        <w:t>(iv) If a waterwash system is used, continuously monitor the water flow rate, and read and record the water flow rate once per shift.</w:t>
      </w:r>
    </w:p>
    <w:p w:rsidR="00EB486E" w:rsidRPr="00EB486E" w:rsidRDefault="00EB486E" w:rsidP="00EB486E">
      <w:pPr>
        <w:pStyle w:val="NormalWeb"/>
        <w:rPr>
          <w:sz w:val="22"/>
          <w:szCs w:val="22"/>
        </w:rPr>
      </w:pPr>
      <w:r w:rsidRPr="00EB486E">
        <w:rPr>
          <w:sz w:val="22"/>
          <w:szCs w:val="22"/>
        </w:rPr>
        <w:t xml:space="preserve">(v) If the pressure drop, as recorded pursuant to §63.752(e)(7), is outside the limit(s) specified by the filter manufacturer or in locally prepared operating procedures, whichever is more stringent, shut down the operation immediately and take corrective action. If the water path in the waterwash system fails the visual continuity/flow characteristics check, as recorded pursuant to §63.752(e)(7), or the water flow rate, as recorded pursuant to §63.752(d)(2), exceeds the limit(s) specified by the booth manufacturer or in locally prepared operating procedures, or the booth manufacturer's or locally prepared maintenance procedures for the filter or waterwash system have not been performed as scheduled, shut down the operation immediately and take corrective action. </w:t>
      </w:r>
      <w:r w:rsidRPr="00EB486E">
        <w:rPr>
          <w:sz w:val="22"/>
          <w:szCs w:val="22"/>
        </w:rPr>
        <w:lastRenderedPageBreak/>
        <w:t xml:space="preserve">The operation shall not be resumed until the pressure drop or water flow rate is returned within the specified limit(s). </w:t>
      </w:r>
    </w:p>
    <w:p w:rsidR="00EB486E" w:rsidRPr="00EB486E" w:rsidRDefault="00EB486E" w:rsidP="00EB486E">
      <w:pPr>
        <w:pStyle w:val="NormalWeb"/>
        <w:rPr>
          <w:sz w:val="22"/>
          <w:szCs w:val="22"/>
        </w:rPr>
      </w:pPr>
      <w:r w:rsidRPr="00EB486E">
        <w:rPr>
          <w:sz w:val="22"/>
          <w:szCs w:val="22"/>
        </w:rPr>
        <w:t xml:space="preserve">(5) Mechanical and hand sanding operations are exempt from the requirements in paragraph (b)(4) of this section. </w:t>
      </w:r>
    </w:p>
    <w:p w:rsidR="00EB486E" w:rsidRPr="00EB486E" w:rsidRDefault="00EB486E" w:rsidP="00EB486E">
      <w:pPr>
        <w:pStyle w:val="NormalWeb"/>
        <w:rPr>
          <w:sz w:val="22"/>
          <w:szCs w:val="22"/>
        </w:rPr>
      </w:pPr>
      <w:r w:rsidRPr="00EB486E">
        <w:rPr>
          <w:sz w:val="22"/>
          <w:szCs w:val="22"/>
        </w:rPr>
        <w:t xml:space="preserve">(c) </w:t>
      </w:r>
      <w:r w:rsidRPr="00EB486E">
        <w:rPr>
          <w:i/>
          <w:iCs/>
          <w:sz w:val="22"/>
          <w:szCs w:val="22"/>
        </w:rPr>
        <w:t>Organic HAP emissions—organic HAP-containing chemical strippers.</w:t>
      </w:r>
      <w:r w:rsidRPr="00EB486E">
        <w:rPr>
          <w:sz w:val="22"/>
          <w:szCs w:val="22"/>
        </w:rPr>
        <w:t xml:space="preserve"> Each owner or operator of a new or existing organic HAP-containing chemical stripper depainting operation subject to this subpart shall comply with the requirements specified in this paragraph. </w:t>
      </w:r>
    </w:p>
    <w:p w:rsidR="00EB486E" w:rsidRPr="00EB486E" w:rsidRDefault="00EB486E" w:rsidP="00EB486E">
      <w:pPr>
        <w:pStyle w:val="NormalWeb"/>
        <w:rPr>
          <w:sz w:val="22"/>
          <w:szCs w:val="22"/>
        </w:rPr>
      </w:pPr>
      <w:r w:rsidRPr="00EB486E">
        <w:rPr>
          <w:sz w:val="22"/>
          <w:szCs w:val="22"/>
        </w:rPr>
        <w:t xml:space="preserve">(1) All organic HAP emissions from the operation shall be reduced </w:t>
      </w:r>
      <w:proofErr w:type="gramStart"/>
      <w:r w:rsidRPr="00EB486E">
        <w:rPr>
          <w:sz w:val="22"/>
          <w:szCs w:val="22"/>
        </w:rPr>
        <w:t>by the use of</w:t>
      </w:r>
      <w:proofErr w:type="gramEnd"/>
      <w:r w:rsidRPr="00EB486E">
        <w:rPr>
          <w:sz w:val="22"/>
          <w:szCs w:val="22"/>
        </w:rPr>
        <w:t xml:space="preserve"> a control system. Each control system that was installed before the effective date shall reduce the operations' organic HAP emissions to the atmosphere by 81 percent or greater, </w:t>
      </w:r>
      <w:proofErr w:type="gramStart"/>
      <w:r w:rsidRPr="00EB486E">
        <w:rPr>
          <w:sz w:val="22"/>
          <w:szCs w:val="22"/>
        </w:rPr>
        <w:t>taking into account</w:t>
      </w:r>
      <w:proofErr w:type="gramEnd"/>
      <w:r w:rsidRPr="00EB486E">
        <w:rPr>
          <w:sz w:val="22"/>
          <w:szCs w:val="22"/>
        </w:rPr>
        <w:t xml:space="preserve"> capture and destruction or removal efficiencies.</w:t>
      </w:r>
    </w:p>
    <w:p w:rsidR="00EB486E" w:rsidRPr="00EB486E" w:rsidRDefault="00EB486E" w:rsidP="00EB486E">
      <w:pPr>
        <w:pStyle w:val="NormalWeb"/>
        <w:rPr>
          <w:sz w:val="22"/>
          <w:szCs w:val="22"/>
        </w:rPr>
      </w:pPr>
      <w:r w:rsidRPr="00EB486E">
        <w:rPr>
          <w:sz w:val="22"/>
          <w:szCs w:val="22"/>
        </w:rPr>
        <w:t xml:space="preserve">(2) Each control system installed on or after the effective date shall reduce organic HAP emissions to the atmosphere by 95 percent or greater. Reduction shall </w:t>
      </w:r>
      <w:proofErr w:type="gramStart"/>
      <w:r w:rsidRPr="00EB486E">
        <w:rPr>
          <w:sz w:val="22"/>
          <w:szCs w:val="22"/>
        </w:rPr>
        <w:t>take into account</w:t>
      </w:r>
      <w:proofErr w:type="gramEnd"/>
      <w:r w:rsidRPr="00EB486E">
        <w:rPr>
          <w:sz w:val="22"/>
          <w:szCs w:val="22"/>
        </w:rPr>
        <w:t xml:space="preserve"> capture and destruction or removal efficiencies, and may take into account the volume of chemical stripper used relative to baseline levels (e.g., the 95 percent efficiency may be achieved by controlling emissions at 81 percent efficiency with a control system and using 74 percent less stripper than in baseline applications). The baseline shall be calculated using data from 1996 and 1997, which shall be on a usage per aircraft or usage per square foot of surface basis.</w:t>
      </w:r>
    </w:p>
    <w:p w:rsidR="00EB486E" w:rsidRPr="00EB486E" w:rsidRDefault="00EB486E" w:rsidP="00EB486E">
      <w:pPr>
        <w:pStyle w:val="NormalWeb"/>
        <w:rPr>
          <w:sz w:val="22"/>
          <w:szCs w:val="22"/>
        </w:rPr>
      </w:pPr>
      <w:r w:rsidRPr="00EB486E">
        <w:rPr>
          <w:sz w:val="22"/>
          <w:szCs w:val="22"/>
        </w:rPr>
        <w:t>(3) The capture and destruction or removal efficiencies are to be determined using the procedures in §63.750(g) when a carbon adsorber is used and those in §63.750(h) when a control device other than a carbon adsorber is used.</w:t>
      </w:r>
    </w:p>
    <w:p w:rsidR="00EB486E" w:rsidRPr="00EB486E" w:rsidRDefault="00EB486E" w:rsidP="00EB486E">
      <w:pPr>
        <w:pStyle w:val="cita"/>
        <w:rPr>
          <w:sz w:val="22"/>
          <w:szCs w:val="22"/>
        </w:rPr>
      </w:pPr>
      <w:r w:rsidRPr="00EB486E">
        <w:rPr>
          <w:sz w:val="22"/>
          <w:szCs w:val="22"/>
        </w:rPr>
        <w:t>[60 FR 45956, Sept. 1, 1996, as amended at 63 FR 15020, Mar. 27, 1998; 63 FR 46533, Sept. 1, 1998; 80 FR 76184, Dec. 7, 2015]</w:t>
      </w:r>
    </w:p>
    <w:p w:rsidR="00EB486E" w:rsidRPr="00EB486E" w:rsidRDefault="00EB486E" w:rsidP="00EB486E">
      <w:pPr>
        <w:pStyle w:val="Heading2"/>
        <w:rPr>
          <w:rFonts w:ascii="Times New Roman" w:hAnsi="Times New Roman" w:cs="Times New Roman"/>
          <w:sz w:val="22"/>
          <w:szCs w:val="22"/>
        </w:rPr>
      </w:pPr>
      <w:bookmarkStart w:id="39" w:name="se40.12.63_1747"/>
      <w:bookmarkEnd w:id="39"/>
      <w:r w:rsidRPr="00EB486E">
        <w:rPr>
          <w:rFonts w:ascii="Times New Roman" w:hAnsi="Times New Roman" w:cs="Times New Roman"/>
          <w:sz w:val="22"/>
          <w:szCs w:val="22"/>
        </w:rPr>
        <w:t>§63.747   Standards: Chemical milling maskant application operations.</w:t>
      </w:r>
    </w:p>
    <w:p w:rsidR="00EB486E" w:rsidRPr="00EB486E" w:rsidRDefault="00EB486E" w:rsidP="00EB486E">
      <w:pPr>
        <w:pStyle w:val="NormalWeb"/>
        <w:rPr>
          <w:sz w:val="22"/>
          <w:szCs w:val="22"/>
        </w:rPr>
      </w:pPr>
      <w:r w:rsidRPr="00EB486E">
        <w:rPr>
          <w:sz w:val="22"/>
          <w:szCs w:val="22"/>
        </w:rPr>
        <w:t xml:space="preserve">(a) Each owner or operator of a new or existing chemical milling maskant operation subject to this subpart shall comply with the requirements specified in paragraph (c) of this section for those chemical milling maskants that are uncontrolled (no control device is used to reduce organic HAP emissions from the operation) and in paragraph (d) of this section for those chemical milling maskants that are controlled (organic HAP emissions from the operation are reduced by the use of a control device). </w:t>
      </w:r>
    </w:p>
    <w:p w:rsidR="00EB486E" w:rsidRPr="00EB486E" w:rsidRDefault="00EB486E" w:rsidP="00EB486E">
      <w:pPr>
        <w:pStyle w:val="NormalWeb"/>
        <w:rPr>
          <w:sz w:val="22"/>
          <w:szCs w:val="22"/>
        </w:rPr>
      </w:pPr>
      <w:r w:rsidRPr="00EB486E">
        <w:rPr>
          <w:sz w:val="22"/>
          <w:szCs w:val="22"/>
        </w:rPr>
        <w:t xml:space="preserve">(b) Each owner or operator shall conduct the handling and transfer of chemical milling maskants to or from containers, tanks, vats, vessels, and piping systems in such a manner that minimizes spills. </w:t>
      </w:r>
    </w:p>
    <w:p w:rsidR="00EB486E" w:rsidRPr="00EB486E" w:rsidRDefault="00EB486E" w:rsidP="00EB486E">
      <w:pPr>
        <w:pStyle w:val="NormalWeb"/>
        <w:rPr>
          <w:sz w:val="22"/>
          <w:szCs w:val="22"/>
        </w:rPr>
      </w:pPr>
      <w:r w:rsidRPr="00EB486E">
        <w:rPr>
          <w:sz w:val="22"/>
          <w:szCs w:val="22"/>
        </w:rPr>
        <w:t xml:space="preserve">(c) </w:t>
      </w:r>
      <w:r w:rsidRPr="00EB486E">
        <w:rPr>
          <w:i/>
          <w:iCs/>
          <w:sz w:val="22"/>
          <w:szCs w:val="22"/>
        </w:rPr>
        <w:t>Uncontrolled maskants—organic HAP and VOC content levels.</w:t>
      </w:r>
      <w:r w:rsidRPr="00EB486E">
        <w:rPr>
          <w:sz w:val="22"/>
          <w:szCs w:val="22"/>
        </w:rPr>
        <w:t xml:space="preserve"> Each owner or operator shall comply with the organic HAP and VOC content limits specified in paragraphs (c)(1) and (c)(2) of this section for each chemical milling maskant that is uncontrolled. </w:t>
      </w:r>
    </w:p>
    <w:p w:rsidR="00EB486E" w:rsidRPr="00EB486E" w:rsidRDefault="00EB486E" w:rsidP="00EB486E">
      <w:pPr>
        <w:pStyle w:val="NormalWeb"/>
        <w:rPr>
          <w:sz w:val="22"/>
          <w:szCs w:val="22"/>
        </w:rPr>
      </w:pPr>
      <w:r w:rsidRPr="00EB486E">
        <w:rPr>
          <w:sz w:val="22"/>
          <w:szCs w:val="22"/>
        </w:rPr>
        <w:t>(1) Organic HAP emissions from chemical milling maskants shall be limited to organic HAP content levels of no more than 622 grams of organic HAP per liter (5.2 lb/gal) of Type I chemical milling maskant (less water) as applied, and no more than 160 grams of organic HAP per liter (1.3 lb/gal) of Type II chemical milling maskant (less water) as applied.</w:t>
      </w:r>
    </w:p>
    <w:p w:rsidR="00EB486E" w:rsidRPr="00EB486E" w:rsidRDefault="00EB486E" w:rsidP="00EB486E">
      <w:pPr>
        <w:pStyle w:val="NormalWeb"/>
        <w:rPr>
          <w:sz w:val="22"/>
          <w:szCs w:val="22"/>
        </w:rPr>
      </w:pPr>
      <w:r w:rsidRPr="00EB486E">
        <w:rPr>
          <w:sz w:val="22"/>
          <w:szCs w:val="22"/>
        </w:rPr>
        <w:lastRenderedPageBreak/>
        <w:t>(2) VOC emissions from chemical milling maskants shall be limited to VOC content levels of no more than 622 grams of VOC per liter (5.2 lb/gal) of Type I chemical milling maskant (less water and exempt solvents) as applied, and no more than 160 grams of VOC per liter (1.3 lb/gal) of Type II chemical milling maskant (less water and exempt solvents) as applied.</w:t>
      </w:r>
    </w:p>
    <w:p w:rsidR="00EB486E" w:rsidRPr="00EB486E" w:rsidRDefault="00EB486E" w:rsidP="00EB486E">
      <w:pPr>
        <w:pStyle w:val="NormalWeb"/>
        <w:rPr>
          <w:sz w:val="22"/>
          <w:szCs w:val="22"/>
        </w:rPr>
      </w:pPr>
      <w:r w:rsidRPr="00EB486E">
        <w:rPr>
          <w:sz w:val="22"/>
          <w:szCs w:val="22"/>
        </w:rPr>
        <w:t xml:space="preserve">(3) The requirements of paragraphs (c)(1) and (c)(2) of this section do not apply to the following: </w:t>
      </w:r>
    </w:p>
    <w:p w:rsidR="00EB486E" w:rsidRPr="00EB486E" w:rsidRDefault="00EB486E" w:rsidP="00EB486E">
      <w:pPr>
        <w:pStyle w:val="NormalWeb"/>
        <w:rPr>
          <w:sz w:val="22"/>
          <w:szCs w:val="22"/>
        </w:rPr>
      </w:pPr>
      <w:r w:rsidRPr="00EB486E">
        <w:rPr>
          <w:sz w:val="22"/>
          <w:szCs w:val="22"/>
        </w:rPr>
        <w:t xml:space="preserve">(i) Touch-up of scratched surfaces or damaged maskant; and </w:t>
      </w:r>
    </w:p>
    <w:p w:rsidR="00EB486E" w:rsidRPr="00EB486E" w:rsidRDefault="00EB486E" w:rsidP="00EB486E">
      <w:pPr>
        <w:pStyle w:val="NormalWeb"/>
        <w:rPr>
          <w:sz w:val="22"/>
          <w:szCs w:val="22"/>
        </w:rPr>
      </w:pPr>
      <w:r w:rsidRPr="00EB486E">
        <w:rPr>
          <w:sz w:val="22"/>
          <w:szCs w:val="22"/>
        </w:rPr>
        <w:t xml:space="preserve">(ii) Touch-up of trimmed edges. </w:t>
      </w:r>
    </w:p>
    <w:p w:rsidR="00EB486E" w:rsidRPr="00EB486E" w:rsidRDefault="00EB486E" w:rsidP="00EB486E">
      <w:pPr>
        <w:pStyle w:val="NormalWeb"/>
        <w:rPr>
          <w:sz w:val="22"/>
          <w:szCs w:val="22"/>
        </w:rPr>
      </w:pPr>
      <w:r w:rsidRPr="00EB486E">
        <w:rPr>
          <w:sz w:val="22"/>
          <w:szCs w:val="22"/>
        </w:rPr>
        <w:t xml:space="preserve">(d) </w:t>
      </w:r>
      <w:r w:rsidRPr="00EB486E">
        <w:rPr>
          <w:i/>
          <w:iCs/>
          <w:sz w:val="22"/>
          <w:szCs w:val="22"/>
        </w:rPr>
        <w:t>Controlled maskants—control system requirements.</w:t>
      </w:r>
      <w:r w:rsidRPr="00EB486E">
        <w:rPr>
          <w:sz w:val="22"/>
          <w:szCs w:val="22"/>
        </w:rPr>
        <w:t xml:space="preserve"> Each control system shall reduce the operation's organic HAP and VOC emissions to the atmosphere by 81% or greater, </w:t>
      </w:r>
      <w:proofErr w:type="gramStart"/>
      <w:r w:rsidRPr="00EB486E">
        <w:rPr>
          <w:sz w:val="22"/>
          <w:szCs w:val="22"/>
        </w:rPr>
        <w:t>taking into account</w:t>
      </w:r>
      <w:proofErr w:type="gramEnd"/>
      <w:r w:rsidRPr="00EB486E">
        <w:rPr>
          <w:sz w:val="22"/>
          <w:szCs w:val="22"/>
        </w:rPr>
        <w:t xml:space="preserve"> capture and destruction or removal efficiencies, as determined using the procedures in §63.750(g) when a carbon adsorber is used and in §63.750(h) when a control device other than a carbon adsorber is used. </w:t>
      </w:r>
    </w:p>
    <w:p w:rsidR="00EB486E" w:rsidRPr="00EB486E" w:rsidRDefault="00EB486E" w:rsidP="00EB486E">
      <w:pPr>
        <w:pStyle w:val="NormalWeb"/>
        <w:rPr>
          <w:sz w:val="22"/>
          <w:szCs w:val="22"/>
        </w:rPr>
      </w:pPr>
      <w:r w:rsidRPr="00EB486E">
        <w:rPr>
          <w:sz w:val="22"/>
          <w:szCs w:val="22"/>
        </w:rPr>
        <w:t xml:space="preserve">(e) </w:t>
      </w:r>
      <w:r w:rsidRPr="00EB486E">
        <w:rPr>
          <w:i/>
          <w:iCs/>
          <w:sz w:val="22"/>
          <w:szCs w:val="22"/>
        </w:rPr>
        <w:t>Compliance methods.</w:t>
      </w:r>
      <w:r w:rsidRPr="00EB486E">
        <w:rPr>
          <w:sz w:val="22"/>
          <w:szCs w:val="22"/>
        </w:rPr>
        <w:t xml:space="preserve"> Compliance with the organic HAP and VOC content limits specified in paragraphs (c)(1) and (c)(2) of this section may be accomplished by using the methods specified in paragraphs (e)(1) and (e)(2) of this section either by themselves or in conjunction with one another. </w:t>
      </w:r>
    </w:p>
    <w:p w:rsidR="00EB486E" w:rsidRPr="00EB486E" w:rsidRDefault="00EB486E" w:rsidP="00EB486E">
      <w:pPr>
        <w:pStyle w:val="NormalWeb"/>
        <w:rPr>
          <w:sz w:val="22"/>
          <w:szCs w:val="22"/>
        </w:rPr>
      </w:pPr>
      <w:r w:rsidRPr="00EB486E">
        <w:rPr>
          <w:sz w:val="22"/>
          <w:szCs w:val="22"/>
        </w:rPr>
        <w:t xml:space="preserve">(1) Use chemical milling maskants with HAP and VOC content levels equal to or less than the limits specified in paragraphs (c)(1) and (c)(2) of this section. </w:t>
      </w:r>
    </w:p>
    <w:p w:rsidR="00EB486E" w:rsidRPr="00EB486E" w:rsidRDefault="00EB486E" w:rsidP="00EB486E">
      <w:pPr>
        <w:pStyle w:val="NormalWeb"/>
        <w:rPr>
          <w:sz w:val="22"/>
          <w:szCs w:val="22"/>
        </w:rPr>
      </w:pPr>
      <w:r w:rsidRPr="00EB486E">
        <w:rPr>
          <w:sz w:val="22"/>
          <w:szCs w:val="22"/>
        </w:rPr>
        <w:t>(2) Use the averaging provisions described in §63.743(d).</w:t>
      </w:r>
    </w:p>
    <w:p w:rsidR="00EB486E" w:rsidRPr="00EB486E" w:rsidRDefault="00EB486E" w:rsidP="00EB486E">
      <w:pPr>
        <w:pStyle w:val="cita"/>
        <w:rPr>
          <w:sz w:val="22"/>
          <w:szCs w:val="22"/>
        </w:rPr>
      </w:pPr>
      <w:r w:rsidRPr="00EB486E">
        <w:rPr>
          <w:sz w:val="22"/>
          <w:szCs w:val="22"/>
        </w:rPr>
        <w:t>[60 FR 45956, Sept. 1, 1996, as amended at 63 FR 15021, Mar. 27, 1998]</w:t>
      </w:r>
    </w:p>
    <w:p w:rsidR="00EB486E" w:rsidRPr="00EB486E" w:rsidRDefault="00EB486E" w:rsidP="00EB486E">
      <w:pPr>
        <w:pStyle w:val="Heading2"/>
        <w:rPr>
          <w:rFonts w:ascii="Times New Roman" w:hAnsi="Times New Roman" w:cs="Times New Roman"/>
          <w:sz w:val="22"/>
          <w:szCs w:val="22"/>
        </w:rPr>
      </w:pPr>
      <w:bookmarkStart w:id="40" w:name="se40.12.63_1748"/>
      <w:bookmarkEnd w:id="40"/>
      <w:r w:rsidRPr="00EB486E">
        <w:rPr>
          <w:rFonts w:ascii="Times New Roman" w:hAnsi="Times New Roman" w:cs="Times New Roman"/>
          <w:sz w:val="22"/>
          <w:szCs w:val="22"/>
        </w:rPr>
        <w:t>§63.748   Standards: Handling and storage of waste.</w:t>
      </w:r>
    </w:p>
    <w:p w:rsidR="00EB486E" w:rsidRPr="00EB486E" w:rsidRDefault="00EB486E" w:rsidP="00EB486E">
      <w:pPr>
        <w:pStyle w:val="NormalWeb"/>
        <w:rPr>
          <w:sz w:val="22"/>
          <w:szCs w:val="22"/>
        </w:rPr>
      </w:pPr>
      <w:r w:rsidRPr="00EB486E">
        <w:rPr>
          <w:sz w:val="22"/>
          <w:szCs w:val="22"/>
        </w:rPr>
        <w:t>(a) The owner or operator of each facility subject to this subpart that produces a waste that contains organic HAP from aerospace primer, topcoat, specialty coating, chemical milling maskant, or chemical depainting operations must be handled and stored as specified in paragraph (a)(1) or (a)(2) of this section. The requirements of paragraphs (a)(1) and (a)(2) of this section do not apply to spent wastes that contain organic HAP that are subject to and handled and stored in compliance with 40 CFR parts 262 through 268 (including the air emission control requirements in 40 CFR part 265, subpart CC).</w:t>
      </w:r>
    </w:p>
    <w:p w:rsidR="00EB486E" w:rsidRPr="00EB486E" w:rsidRDefault="00EB486E" w:rsidP="00EB486E">
      <w:pPr>
        <w:pStyle w:val="NormalWeb"/>
        <w:rPr>
          <w:sz w:val="22"/>
          <w:szCs w:val="22"/>
        </w:rPr>
      </w:pPr>
      <w:r w:rsidRPr="00EB486E">
        <w:rPr>
          <w:sz w:val="22"/>
          <w:szCs w:val="22"/>
        </w:rPr>
        <w:t>(1) Conduct the handling and transfer of the waste to or from containers, tanks, vats, vessels, and piping systems in such a manner that minimizes spills.</w:t>
      </w:r>
    </w:p>
    <w:p w:rsidR="00EB486E" w:rsidRPr="00EB486E" w:rsidRDefault="00EB486E" w:rsidP="00EB486E">
      <w:pPr>
        <w:pStyle w:val="NormalWeb"/>
        <w:rPr>
          <w:sz w:val="22"/>
          <w:szCs w:val="22"/>
        </w:rPr>
      </w:pPr>
      <w:r w:rsidRPr="00EB486E">
        <w:rPr>
          <w:sz w:val="22"/>
          <w:szCs w:val="22"/>
        </w:rPr>
        <w:t>(2) Store all waste that contains organic HAP in closed containers.</w:t>
      </w:r>
    </w:p>
    <w:p w:rsidR="00EB486E" w:rsidRPr="00EB486E" w:rsidRDefault="00EB486E" w:rsidP="00EB486E">
      <w:pPr>
        <w:pStyle w:val="NormalWeb"/>
        <w:rPr>
          <w:sz w:val="22"/>
          <w:szCs w:val="22"/>
        </w:rPr>
      </w:pPr>
      <w:r w:rsidRPr="00EB486E">
        <w:rPr>
          <w:sz w:val="22"/>
          <w:szCs w:val="22"/>
        </w:rPr>
        <w:t>(b) [Reserved]</w:t>
      </w:r>
    </w:p>
    <w:p w:rsidR="00EB486E" w:rsidRPr="00EB486E" w:rsidRDefault="00EB486E" w:rsidP="00EB486E">
      <w:pPr>
        <w:pStyle w:val="cita"/>
        <w:rPr>
          <w:sz w:val="22"/>
          <w:szCs w:val="22"/>
        </w:rPr>
      </w:pPr>
      <w:r w:rsidRPr="00EB486E">
        <w:rPr>
          <w:sz w:val="22"/>
          <w:szCs w:val="22"/>
        </w:rPr>
        <w:t>[80 FR 76184, Dec. 7, 2015]</w:t>
      </w:r>
    </w:p>
    <w:p w:rsidR="00EB486E" w:rsidRPr="00EB486E" w:rsidRDefault="00EB486E" w:rsidP="00EB486E">
      <w:pPr>
        <w:pStyle w:val="Heading2"/>
        <w:rPr>
          <w:rFonts w:ascii="Times New Roman" w:hAnsi="Times New Roman" w:cs="Times New Roman"/>
          <w:sz w:val="22"/>
          <w:szCs w:val="22"/>
        </w:rPr>
      </w:pPr>
      <w:bookmarkStart w:id="41" w:name="se40.12.63_1749"/>
      <w:bookmarkEnd w:id="41"/>
      <w:r w:rsidRPr="00EB486E">
        <w:rPr>
          <w:rFonts w:ascii="Times New Roman" w:hAnsi="Times New Roman" w:cs="Times New Roman"/>
          <w:sz w:val="22"/>
          <w:szCs w:val="22"/>
        </w:rPr>
        <w:lastRenderedPageBreak/>
        <w:t>§63.749   Compliance dates and determinations.</w:t>
      </w:r>
    </w:p>
    <w:p w:rsidR="00EB486E" w:rsidRPr="00EB486E" w:rsidRDefault="00EB486E" w:rsidP="00EB486E">
      <w:pPr>
        <w:pStyle w:val="NormalWeb"/>
        <w:rPr>
          <w:sz w:val="22"/>
          <w:szCs w:val="22"/>
        </w:rPr>
      </w:pPr>
      <w:r w:rsidRPr="00EB486E">
        <w:rPr>
          <w:sz w:val="22"/>
          <w:szCs w:val="22"/>
        </w:rPr>
        <w:t xml:space="preserve">(a) </w:t>
      </w:r>
      <w:r w:rsidRPr="00EB486E">
        <w:rPr>
          <w:i/>
          <w:iCs/>
          <w:sz w:val="22"/>
          <w:szCs w:val="22"/>
        </w:rPr>
        <w:t>Compliance dates</w:t>
      </w:r>
      <w:r w:rsidRPr="00EB486E">
        <w:rPr>
          <w:sz w:val="22"/>
          <w:szCs w:val="22"/>
        </w:rPr>
        <w:t>. (1) Each owner or operator of an existing affected source subject to this subpart shall comply with the requirements of this subpart by September 1, 1998, except as specified in paragraphs (a)(2) and (3) of this section. Owners or operators of new affected sources subject to this subpart shall comply on the effective date or upon startup, whichever is later. In addition, each owner or operator shall comply with the compliance dates specified in §63.6(b) and (c) as indicated in Table 1 to this subpart.</w:t>
      </w:r>
    </w:p>
    <w:p w:rsidR="00EB486E" w:rsidRPr="00EB486E" w:rsidRDefault="00EB486E" w:rsidP="00EB486E">
      <w:pPr>
        <w:pStyle w:val="NormalWeb"/>
        <w:rPr>
          <w:sz w:val="22"/>
          <w:szCs w:val="22"/>
        </w:rPr>
      </w:pPr>
      <w:r w:rsidRPr="00EB486E">
        <w:rPr>
          <w:sz w:val="22"/>
          <w:szCs w:val="22"/>
        </w:rPr>
        <w:t>(2) Owners or operators of existing primer, topcoat, or specialty coating application operations and depainting operations who construct or reconstruct a spray booth or hangar must comply with the new source requirements for inorganic HAP specified in §§63.745(g)(2)(ii) and 63.746(b)(4) for that new spray booth or hangar upon startup. Such sources must still comply with all other existing source requirements by September 1, 1998.</w:t>
      </w:r>
    </w:p>
    <w:p w:rsidR="00EB486E" w:rsidRPr="00EB486E" w:rsidRDefault="00EB486E" w:rsidP="00EB486E">
      <w:pPr>
        <w:pStyle w:val="NormalWeb"/>
        <w:rPr>
          <w:sz w:val="22"/>
          <w:szCs w:val="22"/>
        </w:rPr>
      </w:pPr>
      <w:r w:rsidRPr="00EB486E">
        <w:rPr>
          <w:sz w:val="22"/>
          <w:szCs w:val="22"/>
        </w:rPr>
        <w:t xml:space="preserve">(3) Each owner or operator of a specialty coating application operation or handling and storage of waste operation that begins construction or reconstruction after February 17, 2015, shall </w:t>
      </w:r>
      <w:proofErr w:type="gramStart"/>
      <w:r w:rsidRPr="00EB486E">
        <w:rPr>
          <w:sz w:val="22"/>
          <w:szCs w:val="22"/>
        </w:rPr>
        <w:t>be in compliance with</w:t>
      </w:r>
      <w:proofErr w:type="gramEnd"/>
      <w:r w:rsidRPr="00EB486E">
        <w:rPr>
          <w:sz w:val="22"/>
          <w:szCs w:val="22"/>
        </w:rPr>
        <w:t xml:space="preserve"> the requirements of this subpart on December 7, 2015, or upon startup, whichever is later. Each owner or operator of a specialty coating application operation or handling and storage of waste operation that is existing on February 17, 2015, shall </w:t>
      </w:r>
      <w:proofErr w:type="gramStart"/>
      <w:r w:rsidRPr="00EB486E">
        <w:rPr>
          <w:sz w:val="22"/>
          <w:szCs w:val="22"/>
        </w:rPr>
        <w:t>be in compliance with</w:t>
      </w:r>
      <w:proofErr w:type="gramEnd"/>
      <w:r w:rsidRPr="00EB486E">
        <w:rPr>
          <w:sz w:val="22"/>
          <w:szCs w:val="22"/>
        </w:rPr>
        <w:t xml:space="preserve"> the requirements of this subpart on or before December 7, 2018.</w:t>
      </w:r>
    </w:p>
    <w:p w:rsidR="00EB486E" w:rsidRPr="00EB486E" w:rsidRDefault="00EB486E" w:rsidP="00EB486E">
      <w:pPr>
        <w:pStyle w:val="NormalWeb"/>
        <w:rPr>
          <w:sz w:val="22"/>
          <w:szCs w:val="22"/>
        </w:rPr>
      </w:pPr>
      <w:r w:rsidRPr="00EB486E">
        <w:rPr>
          <w:sz w:val="22"/>
          <w:szCs w:val="22"/>
        </w:rPr>
        <w:t xml:space="preserve">(b) </w:t>
      </w:r>
      <w:r w:rsidRPr="00EB486E">
        <w:rPr>
          <w:i/>
          <w:iCs/>
          <w:sz w:val="22"/>
          <w:szCs w:val="22"/>
        </w:rPr>
        <w:t>General</w:t>
      </w:r>
      <w:r w:rsidRPr="00EB486E">
        <w:rPr>
          <w:sz w:val="22"/>
          <w:szCs w:val="22"/>
        </w:rPr>
        <w:t>. Each facility subject to this subpart shall be considered in noncompliance if the owner or operator uses a control device, other than one specified in this subpart, that has not been approved by the Administrator, as required by §63.743(c).</w:t>
      </w:r>
    </w:p>
    <w:p w:rsidR="00EB486E" w:rsidRPr="00EB486E" w:rsidRDefault="00EB486E" w:rsidP="00EB486E">
      <w:pPr>
        <w:pStyle w:val="NormalWeb"/>
        <w:rPr>
          <w:sz w:val="22"/>
          <w:szCs w:val="22"/>
        </w:rPr>
      </w:pPr>
      <w:r w:rsidRPr="00EB486E">
        <w:rPr>
          <w:sz w:val="22"/>
          <w:szCs w:val="22"/>
        </w:rPr>
        <w:t xml:space="preserve">(c) </w:t>
      </w:r>
      <w:r w:rsidRPr="00EB486E">
        <w:rPr>
          <w:i/>
          <w:iCs/>
          <w:sz w:val="22"/>
          <w:szCs w:val="22"/>
        </w:rPr>
        <w:t>Cleaning operations.</w:t>
      </w:r>
      <w:r w:rsidRPr="00EB486E">
        <w:rPr>
          <w:sz w:val="22"/>
          <w:szCs w:val="22"/>
        </w:rPr>
        <w:t xml:space="preserve"> Each cleaning operation subject to this subpart shall be considered in noncompliance if the owner or operator fails to institute and carry out the housekeeping measures required under §63.744(a). Incidental emissions resulting from the activation of pressure release vents and valves on enclosed cleaning systems are exempt from this paragraph. </w:t>
      </w:r>
    </w:p>
    <w:p w:rsidR="00EB486E" w:rsidRPr="00EB486E" w:rsidRDefault="00EB486E" w:rsidP="00EB486E">
      <w:pPr>
        <w:pStyle w:val="NormalWeb"/>
        <w:rPr>
          <w:sz w:val="22"/>
          <w:szCs w:val="22"/>
        </w:rPr>
      </w:pPr>
      <w:r w:rsidRPr="00EB486E">
        <w:rPr>
          <w:sz w:val="22"/>
          <w:szCs w:val="22"/>
        </w:rPr>
        <w:t xml:space="preserve">(1) </w:t>
      </w:r>
      <w:r w:rsidRPr="00EB486E">
        <w:rPr>
          <w:i/>
          <w:iCs/>
          <w:sz w:val="22"/>
          <w:szCs w:val="22"/>
        </w:rPr>
        <w:t>Hand-wipe cleaning.</w:t>
      </w:r>
      <w:r w:rsidRPr="00EB486E">
        <w:rPr>
          <w:sz w:val="22"/>
          <w:szCs w:val="22"/>
        </w:rPr>
        <w:t xml:space="preserve"> An affected hand-wipe cleaning operation shall be considered in compliance when all hand-wipe cleaning solvents, excluding those used for hand cleaning of spray gun equipment under §63.744(c)(3), meet either the composition requirements specified in §63.744(b)(1) or the vapor pressure requirement specified in §63.744(b)(2). </w:t>
      </w:r>
    </w:p>
    <w:p w:rsidR="00EB486E" w:rsidRPr="00EB486E" w:rsidRDefault="00EB486E" w:rsidP="00EB486E">
      <w:pPr>
        <w:pStyle w:val="NormalWeb"/>
        <w:rPr>
          <w:sz w:val="22"/>
          <w:szCs w:val="22"/>
        </w:rPr>
      </w:pPr>
      <w:r w:rsidRPr="00EB486E">
        <w:rPr>
          <w:sz w:val="22"/>
          <w:szCs w:val="22"/>
        </w:rPr>
        <w:t xml:space="preserve">(2) </w:t>
      </w:r>
      <w:r w:rsidRPr="00EB486E">
        <w:rPr>
          <w:i/>
          <w:iCs/>
          <w:sz w:val="22"/>
          <w:szCs w:val="22"/>
        </w:rPr>
        <w:t>Spray gun cleaning.</w:t>
      </w:r>
      <w:r w:rsidRPr="00EB486E">
        <w:rPr>
          <w:sz w:val="22"/>
          <w:szCs w:val="22"/>
        </w:rPr>
        <w:t xml:space="preserve"> An affected spray gun cleaning operation shall be considered in compliance when each of the following conditions is met: </w:t>
      </w:r>
    </w:p>
    <w:p w:rsidR="00EB486E" w:rsidRPr="00EB486E" w:rsidRDefault="00EB486E" w:rsidP="00EB486E">
      <w:pPr>
        <w:pStyle w:val="NormalWeb"/>
        <w:rPr>
          <w:sz w:val="22"/>
          <w:szCs w:val="22"/>
        </w:rPr>
      </w:pPr>
      <w:r w:rsidRPr="00EB486E">
        <w:rPr>
          <w:sz w:val="22"/>
          <w:szCs w:val="22"/>
        </w:rPr>
        <w:t xml:space="preserve">(i) One of the four techniques specified in §63.744 (c)(1) through (c)(4) is used; </w:t>
      </w:r>
    </w:p>
    <w:p w:rsidR="00EB486E" w:rsidRPr="00EB486E" w:rsidRDefault="00EB486E" w:rsidP="00EB486E">
      <w:pPr>
        <w:pStyle w:val="NormalWeb"/>
        <w:rPr>
          <w:sz w:val="22"/>
          <w:szCs w:val="22"/>
        </w:rPr>
      </w:pPr>
      <w:r w:rsidRPr="00EB486E">
        <w:rPr>
          <w:sz w:val="22"/>
          <w:szCs w:val="22"/>
        </w:rPr>
        <w:t xml:space="preserve">(ii) The technique selected is operated according to the procedures specified in §63.744 (c)(1) through (c)(4) as appropriate; and </w:t>
      </w:r>
    </w:p>
    <w:p w:rsidR="00EB486E" w:rsidRPr="00EB486E" w:rsidRDefault="00EB486E" w:rsidP="00EB486E">
      <w:pPr>
        <w:pStyle w:val="NormalWeb"/>
        <w:rPr>
          <w:sz w:val="22"/>
          <w:szCs w:val="22"/>
        </w:rPr>
      </w:pPr>
      <w:r w:rsidRPr="00EB486E">
        <w:rPr>
          <w:sz w:val="22"/>
          <w:szCs w:val="22"/>
        </w:rPr>
        <w:t xml:space="preserve">(iii) If an enclosed system is used, monthly visual inspections are conducted and any leak detected is repaired within 15 days after detection. If the leak is not repaired by the 15th day after detection, the solvent shall be removed and the enclosed cleaner shall be shut down until the cleaner is repaired or its use is permanently discontinued. </w:t>
      </w:r>
    </w:p>
    <w:p w:rsidR="00EB486E" w:rsidRPr="00EB486E" w:rsidRDefault="00EB486E" w:rsidP="00EB486E">
      <w:pPr>
        <w:pStyle w:val="NormalWeb"/>
        <w:rPr>
          <w:sz w:val="22"/>
          <w:szCs w:val="22"/>
        </w:rPr>
      </w:pPr>
      <w:r w:rsidRPr="00EB486E">
        <w:rPr>
          <w:sz w:val="22"/>
          <w:szCs w:val="22"/>
        </w:rPr>
        <w:lastRenderedPageBreak/>
        <w:t xml:space="preserve">(3) </w:t>
      </w:r>
      <w:r w:rsidRPr="00EB486E">
        <w:rPr>
          <w:i/>
          <w:iCs/>
          <w:sz w:val="22"/>
          <w:szCs w:val="22"/>
        </w:rPr>
        <w:t>Flush cleaning.</w:t>
      </w:r>
      <w:r w:rsidRPr="00EB486E">
        <w:rPr>
          <w:sz w:val="22"/>
          <w:szCs w:val="22"/>
        </w:rPr>
        <w:t xml:space="preserve"> An affected flush cleaning operation shall be considered in compliance if the operating requirements specified in §63.744(d) are implemented and carried out. </w:t>
      </w:r>
    </w:p>
    <w:p w:rsidR="00EB486E" w:rsidRPr="00EB486E" w:rsidRDefault="00EB486E" w:rsidP="00EB486E">
      <w:pPr>
        <w:pStyle w:val="NormalWeb"/>
        <w:rPr>
          <w:sz w:val="22"/>
          <w:szCs w:val="22"/>
        </w:rPr>
      </w:pPr>
      <w:r w:rsidRPr="00EB486E">
        <w:rPr>
          <w:sz w:val="22"/>
          <w:szCs w:val="22"/>
        </w:rPr>
        <w:t xml:space="preserve">(d) </w:t>
      </w:r>
      <w:r w:rsidRPr="00EB486E">
        <w:rPr>
          <w:i/>
          <w:iCs/>
          <w:sz w:val="22"/>
          <w:szCs w:val="22"/>
        </w:rPr>
        <w:t>Organic HAP and VOC content levels—primer, topcoat, and specialty coating application operations</w:t>
      </w:r>
      <w:proofErr w:type="gramStart"/>
      <w:r w:rsidRPr="00EB486E">
        <w:rPr>
          <w:sz w:val="22"/>
          <w:szCs w:val="22"/>
        </w:rPr>
        <w:t>—(</w:t>
      </w:r>
      <w:proofErr w:type="gramEnd"/>
      <w:r w:rsidRPr="00EB486E">
        <w:rPr>
          <w:sz w:val="22"/>
          <w:szCs w:val="22"/>
        </w:rPr>
        <w:t xml:space="preserve">1) </w:t>
      </w:r>
      <w:r w:rsidRPr="00EB486E">
        <w:rPr>
          <w:i/>
          <w:iCs/>
          <w:sz w:val="22"/>
          <w:szCs w:val="22"/>
        </w:rPr>
        <w:t>Performance test periods.</w:t>
      </w:r>
      <w:r w:rsidRPr="00EB486E">
        <w:rPr>
          <w:sz w:val="22"/>
          <w:szCs w:val="22"/>
        </w:rPr>
        <w:t xml:space="preserve"> For uncontrolled coatings that are not averaged, each 24 </w:t>
      </w:r>
      <w:proofErr w:type="gramStart"/>
      <w:r w:rsidRPr="00EB486E">
        <w:rPr>
          <w:sz w:val="22"/>
          <w:szCs w:val="22"/>
        </w:rPr>
        <w:t>hours</w:t>
      </w:r>
      <w:proofErr w:type="gramEnd"/>
      <w:r w:rsidRPr="00EB486E">
        <w:rPr>
          <w:sz w:val="22"/>
          <w:szCs w:val="22"/>
        </w:rPr>
        <w:t xml:space="preserve"> is considered a performance test. For compliant and non-compliant coatings that are averaged together, each 30-day period is considered a performance test, unless the permitting agency specifies a shorter averaging period as part of an ambient ozone control program. When using a control device other than a carbon adsorber, three 1-hour runs constitute the test period for the initial and any subsequent performance test. When using a carbon adsorber, each rolling material balance period is considered a performance test. </w:t>
      </w:r>
    </w:p>
    <w:p w:rsidR="00EB486E" w:rsidRPr="00EB486E" w:rsidRDefault="00EB486E" w:rsidP="00EB486E">
      <w:pPr>
        <w:pStyle w:val="NormalWeb"/>
        <w:rPr>
          <w:sz w:val="22"/>
          <w:szCs w:val="22"/>
        </w:rPr>
      </w:pPr>
      <w:r w:rsidRPr="00EB486E">
        <w:rPr>
          <w:sz w:val="22"/>
          <w:szCs w:val="22"/>
        </w:rPr>
        <w:t xml:space="preserve">(2) </w:t>
      </w:r>
      <w:r w:rsidRPr="00EB486E">
        <w:rPr>
          <w:i/>
          <w:iCs/>
          <w:sz w:val="22"/>
          <w:szCs w:val="22"/>
        </w:rPr>
        <w:t>Initial performance tests.</w:t>
      </w:r>
      <w:r w:rsidRPr="00EB486E">
        <w:rPr>
          <w:sz w:val="22"/>
          <w:szCs w:val="22"/>
        </w:rPr>
        <w:t xml:space="preserve"> If a control device is used, each owner or operator shall conduct an initial performance test to demonstrate compliance with the overall reduction efficiency specified in paragraph §63.745, unless a waiver is obtained under either §63.7(e)(2)(iv) or §63.7(h). The initial performance test shall be conducted according to the procedures and test methods specified in §§63.7 and 63.750(g) for carbon adsorbers and in §63.750(h) for control devices other than carbon adsorbers. For carbon adsorbers, the initial performance test shall be used to establish the appropriate rolling material balance period for determining compliance. The procedures in paragraphs (d)(2)(i) through (d)(2)(vi) of this section shall be used in determining initial compliance with the provisions of this subpart for carbon adsorbers. </w:t>
      </w:r>
    </w:p>
    <w:p w:rsidR="00EB486E" w:rsidRPr="00EB486E" w:rsidRDefault="00EB486E" w:rsidP="00EB486E">
      <w:pPr>
        <w:pStyle w:val="NormalWeb"/>
        <w:rPr>
          <w:sz w:val="22"/>
          <w:szCs w:val="22"/>
        </w:rPr>
      </w:pPr>
      <w:r w:rsidRPr="00EB486E">
        <w:rPr>
          <w:sz w:val="22"/>
          <w:szCs w:val="22"/>
        </w:rPr>
        <w:t xml:space="preserve">(i)(A) When either EPA Method 18 or EPA Method 25A is to be used in the determination of the efficiency of a fixed-bed carbon adsorption system with a common exhaust stack for all the individual carbon adsorber vessels pursuant to §63.750(g) (2) or (4), the test shall consist of three separate runs, each coinciding with one or more complete sequences through the adsorption cycles of </w:t>
      </w:r>
      <w:proofErr w:type="gramStart"/>
      <w:r w:rsidRPr="00EB486E">
        <w:rPr>
          <w:sz w:val="22"/>
          <w:szCs w:val="22"/>
        </w:rPr>
        <w:t>all of</w:t>
      </w:r>
      <w:proofErr w:type="gramEnd"/>
      <w:r w:rsidRPr="00EB486E">
        <w:rPr>
          <w:sz w:val="22"/>
          <w:szCs w:val="22"/>
        </w:rPr>
        <w:t xml:space="preserve"> the individual carbon adsorber vessels. </w:t>
      </w:r>
    </w:p>
    <w:p w:rsidR="00EB486E" w:rsidRPr="00EB486E" w:rsidRDefault="00EB486E" w:rsidP="00EB486E">
      <w:pPr>
        <w:pStyle w:val="NormalWeb"/>
        <w:rPr>
          <w:sz w:val="22"/>
          <w:szCs w:val="22"/>
        </w:rPr>
      </w:pPr>
      <w:r w:rsidRPr="00EB486E">
        <w:rPr>
          <w:sz w:val="22"/>
          <w:szCs w:val="22"/>
        </w:rPr>
        <w:t xml:space="preserve">(B) When either EPA Method 18 or EPA Method 25A is to be used in the determination of the efficiency of a fixed-bed carbon adsorption system with individual exhaust stacks for each carbon adsorber vessel pursuant to §63.750(g) (3) or (4), each carbon adsorber vessel shall be tested individually. The test for each carbon adsorber vessel shall consist of three separate runs. Each run shall coincide with one or more complete adsorption cycles. </w:t>
      </w:r>
    </w:p>
    <w:p w:rsidR="00EB486E" w:rsidRPr="00EB486E" w:rsidRDefault="00EB486E" w:rsidP="00EB486E">
      <w:pPr>
        <w:pStyle w:val="NormalWeb"/>
        <w:rPr>
          <w:sz w:val="22"/>
          <w:szCs w:val="22"/>
        </w:rPr>
      </w:pPr>
      <w:r w:rsidRPr="00EB486E">
        <w:rPr>
          <w:sz w:val="22"/>
          <w:szCs w:val="22"/>
        </w:rPr>
        <w:t xml:space="preserve">(ii) EPA Method 1 or 1A of appendix A of part 60 is used for sample and velocity traverses. </w:t>
      </w:r>
    </w:p>
    <w:p w:rsidR="00EB486E" w:rsidRPr="00EB486E" w:rsidRDefault="00EB486E" w:rsidP="00EB486E">
      <w:pPr>
        <w:pStyle w:val="NormalWeb"/>
        <w:rPr>
          <w:sz w:val="22"/>
          <w:szCs w:val="22"/>
        </w:rPr>
      </w:pPr>
      <w:r w:rsidRPr="00EB486E">
        <w:rPr>
          <w:sz w:val="22"/>
          <w:szCs w:val="22"/>
        </w:rPr>
        <w:t xml:space="preserve">(iii) EPA Method 2, 2A, 2C, or 2D of appendix A of part 60 is used for velocity and volumetric flow rates. </w:t>
      </w:r>
    </w:p>
    <w:p w:rsidR="00EB486E" w:rsidRPr="00EB486E" w:rsidRDefault="00EB486E" w:rsidP="00EB486E">
      <w:pPr>
        <w:pStyle w:val="NormalWeb"/>
        <w:rPr>
          <w:sz w:val="22"/>
          <w:szCs w:val="22"/>
        </w:rPr>
      </w:pPr>
      <w:r w:rsidRPr="00EB486E">
        <w:rPr>
          <w:sz w:val="22"/>
          <w:szCs w:val="22"/>
        </w:rPr>
        <w:t xml:space="preserve">(iv) EPA Method 3 of appendix A of part 60 is used for gas analysis. </w:t>
      </w:r>
    </w:p>
    <w:p w:rsidR="00EB486E" w:rsidRPr="00EB486E" w:rsidRDefault="00EB486E" w:rsidP="00EB486E">
      <w:pPr>
        <w:pStyle w:val="NormalWeb"/>
        <w:rPr>
          <w:sz w:val="22"/>
          <w:szCs w:val="22"/>
        </w:rPr>
      </w:pPr>
      <w:r w:rsidRPr="00EB486E">
        <w:rPr>
          <w:sz w:val="22"/>
          <w:szCs w:val="22"/>
        </w:rPr>
        <w:t xml:space="preserve">(v) EPA Method 4 of appendix A of part 60 is used for stack gas moisture. </w:t>
      </w:r>
    </w:p>
    <w:p w:rsidR="00EB486E" w:rsidRPr="00EB486E" w:rsidRDefault="00EB486E" w:rsidP="00EB486E">
      <w:pPr>
        <w:pStyle w:val="NormalWeb"/>
        <w:rPr>
          <w:sz w:val="22"/>
          <w:szCs w:val="22"/>
        </w:rPr>
      </w:pPr>
      <w:r w:rsidRPr="00EB486E">
        <w:rPr>
          <w:sz w:val="22"/>
          <w:szCs w:val="22"/>
        </w:rPr>
        <w:t xml:space="preserve">(vi) EPA Methods 2, 2A, 2C, 2D, 3, and 4 shall be performed, as applicable, at least twice during each test period. </w:t>
      </w:r>
    </w:p>
    <w:p w:rsidR="00EB486E" w:rsidRPr="00EB486E" w:rsidRDefault="00EB486E" w:rsidP="00EB486E">
      <w:pPr>
        <w:pStyle w:val="NormalWeb"/>
        <w:rPr>
          <w:sz w:val="22"/>
          <w:szCs w:val="22"/>
        </w:rPr>
      </w:pPr>
      <w:r w:rsidRPr="00EB486E">
        <w:rPr>
          <w:sz w:val="22"/>
          <w:szCs w:val="22"/>
        </w:rPr>
        <w:t>(3) The primer application operation is considered in compliance when the conditions specified in paragraphs (d)(3)(i) through (d)(3)(iv) of this section, as applicable, and in paragraph (e) of this section are met. Failure to meet any one of the conditions identified in these paragraphs shall constitute noncompliance. The compliance demonstration for a primer may be based on the organic HAP content or the VOC content of the primer; demonstrating compliance with both the HAP content limit and the VOC content limit is not required. If a primer contains HAP solvents that are exempt from the definition of VOC in §63.741 and 40 CFR 51.100, then the HAP content must be used to demonstrate compliance.</w:t>
      </w:r>
    </w:p>
    <w:p w:rsidR="00EB486E" w:rsidRPr="00EB486E" w:rsidRDefault="00EB486E" w:rsidP="00EB486E">
      <w:pPr>
        <w:pStyle w:val="NormalWeb"/>
        <w:rPr>
          <w:sz w:val="22"/>
          <w:szCs w:val="22"/>
        </w:rPr>
      </w:pPr>
      <w:r w:rsidRPr="00EB486E">
        <w:rPr>
          <w:sz w:val="22"/>
          <w:szCs w:val="22"/>
        </w:rPr>
        <w:lastRenderedPageBreak/>
        <w:t>(i) For all uncontrolled primers, all values of H</w:t>
      </w:r>
      <w:r w:rsidRPr="00EB486E">
        <w:rPr>
          <w:sz w:val="22"/>
          <w:szCs w:val="22"/>
          <w:vertAlign w:val="subscript"/>
        </w:rPr>
        <w:t>i</w:t>
      </w:r>
      <w:r w:rsidRPr="00EB486E">
        <w:rPr>
          <w:sz w:val="22"/>
          <w:szCs w:val="22"/>
        </w:rPr>
        <w:t xml:space="preserve"> and H</w:t>
      </w:r>
      <w:r w:rsidRPr="00EB486E">
        <w:rPr>
          <w:sz w:val="22"/>
          <w:szCs w:val="22"/>
          <w:vertAlign w:val="subscript"/>
        </w:rPr>
        <w:t>a</w:t>
      </w:r>
      <w:r w:rsidRPr="00EB486E">
        <w:rPr>
          <w:sz w:val="22"/>
          <w:szCs w:val="22"/>
        </w:rPr>
        <w:t xml:space="preserve"> (as determined using the procedures specified in §63.750(c) and (d)) are less than or equal to the applicable HAP content limit in §63.745(c)(1), and all values of G</w:t>
      </w:r>
      <w:r w:rsidRPr="00EB486E">
        <w:rPr>
          <w:sz w:val="22"/>
          <w:szCs w:val="22"/>
          <w:vertAlign w:val="subscript"/>
        </w:rPr>
        <w:t>i</w:t>
      </w:r>
      <w:r w:rsidRPr="00EB486E">
        <w:rPr>
          <w:sz w:val="22"/>
          <w:szCs w:val="22"/>
        </w:rPr>
        <w:t xml:space="preserve"> and G</w:t>
      </w:r>
      <w:r w:rsidRPr="00EB486E">
        <w:rPr>
          <w:sz w:val="22"/>
          <w:szCs w:val="22"/>
          <w:vertAlign w:val="subscript"/>
        </w:rPr>
        <w:t>a</w:t>
      </w:r>
      <w:r w:rsidRPr="00EB486E">
        <w:rPr>
          <w:sz w:val="22"/>
          <w:szCs w:val="22"/>
        </w:rPr>
        <w:t xml:space="preserve"> (as determined using the procedures specified in §63.750(e) and (f)) are less than or equal to the applicable VOC content limit in §63.745(c)(2).</w:t>
      </w:r>
    </w:p>
    <w:p w:rsidR="00EB486E" w:rsidRPr="00EB486E" w:rsidRDefault="00EB486E" w:rsidP="00EB486E">
      <w:pPr>
        <w:pStyle w:val="NormalWeb"/>
        <w:rPr>
          <w:sz w:val="22"/>
          <w:szCs w:val="22"/>
        </w:rPr>
      </w:pPr>
      <w:r w:rsidRPr="00EB486E">
        <w:rPr>
          <w:sz w:val="22"/>
          <w:szCs w:val="22"/>
        </w:rPr>
        <w:t xml:space="preserve">(ii) If a control device is used: </w:t>
      </w:r>
    </w:p>
    <w:p w:rsidR="00EB486E" w:rsidRPr="00EB486E" w:rsidRDefault="00EB486E" w:rsidP="00EB486E">
      <w:pPr>
        <w:pStyle w:val="NormalWeb"/>
        <w:rPr>
          <w:sz w:val="22"/>
          <w:szCs w:val="22"/>
        </w:rPr>
      </w:pPr>
      <w:r w:rsidRPr="00EB486E">
        <w:rPr>
          <w:sz w:val="22"/>
          <w:szCs w:val="22"/>
        </w:rPr>
        <w:t>(A) The overall control system efficiency, E</w:t>
      </w:r>
      <w:r w:rsidRPr="00EB486E">
        <w:rPr>
          <w:sz w:val="22"/>
          <w:szCs w:val="22"/>
          <w:vertAlign w:val="subscript"/>
        </w:rPr>
        <w:t>k</w:t>
      </w:r>
      <w:r w:rsidRPr="00EB486E">
        <w:rPr>
          <w:sz w:val="22"/>
          <w:szCs w:val="22"/>
        </w:rPr>
        <w:t xml:space="preserve">, as determined using the procedures specified in §63.750(g) for control systems containing carbon adsorbers and in §63.750(h) for control systems with other control devices, is equal to or greater than 81% during the initial performance test and any subsequent performance test; </w:t>
      </w:r>
    </w:p>
    <w:p w:rsidR="00EB486E" w:rsidRPr="00EB486E" w:rsidRDefault="00EB486E" w:rsidP="00EB486E">
      <w:pPr>
        <w:pStyle w:val="NormalWeb"/>
        <w:rPr>
          <w:sz w:val="22"/>
          <w:szCs w:val="22"/>
        </w:rPr>
      </w:pPr>
      <w:r w:rsidRPr="00EB486E">
        <w:rPr>
          <w:sz w:val="22"/>
          <w:szCs w:val="22"/>
        </w:rPr>
        <w:t>(B) If an incinerator other than a catalytic incinerator is used, the average combustion temperature for all 3-hour periods is greater than or equal to the average combustion temperature established under §63.751(b</w:t>
      </w:r>
      <w:proofErr w:type="gramStart"/>
      <w:r w:rsidRPr="00EB486E">
        <w:rPr>
          <w:sz w:val="22"/>
          <w:szCs w:val="22"/>
        </w:rPr>
        <w:t>)(</w:t>
      </w:r>
      <w:proofErr w:type="gramEnd"/>
      <w:r w:rsidRPr="00EB486E">
        <w:rPr>
          <w:sz w:val="22"/>
          <w:szCs w:val="22"/>
        </w:rPr>
        <w:t xml:space="preserve">11); and </w:t>
      </w:r>
    </w:p>
    <w:p w:rsidR="00EB486E" w:rsidRPr="00EB486E" w:rsidRDefault="00EB486E" w:rsidP="00EB486E">
      <w:pPr>
        <w:pStyle w:val="NormalWeb"/>
        <w:rPr>
          <w:sz w:val="22"/>
          <w:szCs w:val="22"/>
        </w:rPr>
      </w:pPr>
      <w:r w:rsidRPr="00EB486E">
        <w:rPr>
          <w:sz w:val="22"/>
          <w:szCs w:val="22"/>
        </w:rPr>
        <w:t>(C) If a catalytic incinerator is used, the average combustion temperatures for all 3-hour periods are greater than or equal to the average combustion temperatures established under §63.751(b</w:t>
      </w:r>
      <w:proofErr w:type="gramStart"/>
      <w:r w:rsidRPr="00EB486E">
        <w:rPr>
          <w:sz w:val="22"/>
          <w:szCs w:val="22"/>
        </w:rPr>
        <w:t>)(</w:t>
      </w:r>
      <w:proofErr w:type="gramEnd"/>
      <w:r w:rsidRPr="00EB486E">
        <w:rPr>
          <w:sz w:val="22"/>
          <w:szCs w:val="22"/>
        </w:rPr>
        <w:t xml:space="preserve">12). </w:t>
      </w:r>
    </w:p>
    <w:p w:rsidR="00EB486E" w:rsidRPr="00EB486E" w:rsidRDefault="00EB486E" w:rsidP="00EB486E">
      <w:pPr>
        <w:pStyle w:val="NormalWeb"/>
        <w:rPr>
          <w:sz w:val="22"/>
          <w:szCs w:val="22"/>
        </w:rPr>
      </w:pPr>
      <w:r w:rsidRPr="00EB486E">
        <w:rPr>
          <w:sz w:val="22"/>
          <w:szCs w:val="22"/>
        </w:rPr>
        <w:t xml:space="preserve">(iii)(A) Uses an application technique specified in §63.745 (f)(1)(i) through (f)(1)(viii), or </w:t>
      </w:r>
    </w:p>
    <w:p w:rsidR="00EB486E" w:rsidRPr="00EB486E" w:rsidRDefault="00EB486E" w:rsidP="00EB486E">
      <w:pPr>
        <w:pStyle w:val="NormalWeb"/>
        <w:rPr>
          <w:sz w:val="22"/>
          <w:szCs w:val="22"/>
        </w:rPr>
      </w:pPr>
      <w:r w:rsidRPr="00EB486E">
        <w:rPr>
          <w:sz w:val="22"/>
          <w:szCs w:val="22"/>
        </w:rPr>
        <w:t>(B) Uses an alternative application technique, as allowed under §63.745(f)(1)(ix), such that the emissions of both organic HAP and VOC for the implementation period of the alternative application method are less than or equal to the emissions generated using HVLP or electrostatic spray application methods as determined using the procedures specified in §63.750(i).</w:t>
      </w:r>
    </w:p>
    <w:p w:rsidR="00EB486E" w:rsidRPr="00EB486E" w:rsidRDefault="00EB486E" w:rsidP="00EB486E">
      <w:pPr>
        <w:pStyle w:val="NormalWeb"/>
        <w:rPr>
          <w:sz w:val="22"/>
          <w:szCs w:val="22"/>
        </w:rPr>
      </w:pPr>
      <w:r w:rsidRPr="00EB486E">
        <w:rPr>
          <w:sz w:val="22"/>
          <w:szCs w:val="22"/>
        </w:rPr>
        <w:t xml:space="preserve">(iv) Operates all application techniques in accordance with the manufacturer's specifications or locally prepared operating procedures, whichever is more stringent. </w:t>
      </w:r>
    </w:p>
    <w:p w:rsidR="00EB486E" w:rsidRPr="00EB486E" w:rsidRDefault="00EB486E" w:rsidP="00EB486E">
      <w:pPr>
        <w:pStyle w:val="NormalWeb"/>
        <w:rPr>
          <w:sz w:val="22"/>
          <w:szCs w:val="22"/>
        </w:rPr>
      </w:pPr>
      <w:r w:rsidRPr="00EB486E">
        <w:rPr>
          <w:sz w:val="22"/>
          <w:szCs w:val="22"/>
        </w:rPr>
        <w:t>(4) The topcoat or specialty coating application operation is considered in compliance when the conditions specified in paragraphs (d)(4)(i) through (d)(4)(iv) of this section, as applicable, and in paragraph (e) of this section are met. Failure to meet any of the conditions identified in these paragraphs shall constitute noncompliance.</w:t>
      </w:r>
    </w:p>
    <w:p w:rsidR="00EB486E" w:rsidRPr="00EB486E" w:rsidRDefault="00EB486E" w:rsidP="00EB486E">
      <w:pPr>
        <w:pStyle w:val="NormalWeb"/>
        <w:rPr>
          <w:sz w:val="22"/>
          <w:szCs w:val="22"/>
        </w:rPr>
      </w:pPr>
      <w:r w:rsidRPr="00EB486E">
        <w:rPr>
          <w:sz w:val="22"/>
          <w:szCs w:val="22"/>
        </w:rPr>
        <w:t>(i) The topcoat application operation is considered in compliance when the conditions specified in paragraph (d)(4)(i)(A) of this section are met. The specialty coating application operation is considered in compliance when the conditions specified in paragraph (d)(4)(i)(B) are met. The compliance demonstration for a topcoat or a specialty coating may be based on the organic HAP content or the VOC content of the coating; demonstrating compliance with both the HAP content limit and the VOC content limit is not required. If a topcoat or specialty coating contains HAP solvents that are exempt from the definition of VOC in §63.741 and 40 CFR 51.100, then the HAP content must be used to demonstrate compliance.</w:t>
      </w:r>
    </w:p>
    <w:p w:rsidR="00EB486E" w:rsidRPr="00EB486E" w:rsidRDefault="00EB486E" w:rsidP="00EB486E">
      <w:pPr>
        <w:pStyle w:val="NormalWeb"/>
        <w:rPr>
          <w:sz w:val="22"/>
          <w:szCs w:val="22"/>
        </w:rPr>
      </w:pPr>
      <w:r w:rsidRPr="00EB486E">
        <w:rPr>
          <w:sz w:val="22"/>
          <w:szCs w:val="22"/>
        </w:rPr>
        <w:t>(A) For all uncontrolled topcoats, all values of H</w:t>
      </w:r>
      <w:r w:rsidRPr="00EB486E">
        <w:rPr>
          <w:sz w:val="22"/>
          <w:szCs w:val="22"/>
          <w:vertAlign w:val="subscript"/>
        </w:rPr>
        <w:t>i</w:t>
      </w:r>
      <w:r w:rsidRPr="00EB486E">
        <w:rPr>
          <w:sz w:val="22"/>
          <w:szCs w:val="22"/>
        </w:rPr>
        <w:t xml:space="preserve"> and H</w:t>
      </w:r>
      <w:r w:rsidRPr="00EB486E">
        <w:rPr>
          <w:sz w:val="22"/>
          <w:szCs w:val="22"/>
          <w:vertAlign w:val="subscript"/>
        </w:rPr>
        <w:t>a</w:t>
      </w:r>
      <w:r w:rsidRPr="00EB486E">
        <w:rPr>
          <w:sz w:val="22"/>
          <w:szCs w:val="22"/>
        </w:rPr>
        <w:t xml:space="preserve"> (as determined using the procedures specified in §63.750(c) and (d)) are less than or equal to the applicable HAP content limit in §63.745(c)(3), and all values of G</w:t>
      </w:r>
      <w:r w:rsidRPr="00EB486E">
        <w:rPr>
          <w:sz w:val="22"/>
          <w:szCs w:val="22"/>
          <w:vertAlign w:val="subscript"/>
        </w:rPr>
        <w:t>i</w:t>
      </w:r>
      <w:r w:rsidRPr="00EB486E">
        <w:rPr>
          <w:sz w:val="22"/>
          <w:szCs w:val="22"/>
        </w:rPr>
        <w:t xml:space="preserve"> and G</w:t>
      </w:r>
      <w:r w:rsidRPr="00EB486E">
        <w:rPr>
          <w:sz w:val="22"/>
          <w:szCs w:val="22"/>
          <w:vertAlign w:val="subscript"/>
        </w:rPr>
        <w:t>a</w:t>
      </w:r>
      <w:r w:rsidRPr="00EB486E">
        <w:rPr>
          <w:sz w:val="22"/>
          <w:szCs w:val="22"/>
        </w:rPr>
        <w:t xml:space="preserve"> (as determined using the procedures specified in §63.750(e) and (f)) are less than or equal to the applicable VOC content limit in §63.745(c)(4).</w:t>
      </w:r>
    </w:p>
    <w:p w:rsidR="00EB486E" w:rsidRPr="00EB486E" w:rsidRDefault="00EB486E" w:rsidP="00EB486E">
      <w:pPr>
        <w:pStyle w:val="NormalWeb"/>
        <w:rPr>
          <w:sz w:val="22"/>
          <w:szCs w:val="22"/>
        </w:rPr>
      </w:pPr>
      <w:r w:rsidRPr="00EB486E">
        <w:rPr>
          <w:sz w:val="22"/>
          <w:szCs w:val="22"/>
        </w:rPr>
        <w:t>(B) For all uncontrolled specialty coatings, all values of H</w:t>
      </w:r>
      <w:r w:rsidRPr="00EB486E">
        <w:rPr>
          <w:sz w:val="22"/>
          <w:szCs w:val="22"/>
          <w:vertAlign w:val="subscript"/>
        </w:rPr>
        <w:t>i</w:t>
      </w:r>
      <w:r w:rsidRPr="00EB486E">
        <w:rPr>
          <w:sz w:val="22"/>
          <w:szCs w:val="22"/>
        </w:rPr>
        <w:t xml:space="preserve"> and H</w:t>
      </w:r>
      <w:r w:rsidRPr="00EB486E">
        <w:rPr>
          <w:sz w:val="22"/>
          <w:szCs w:val="22"/>
          <w:vertAlign w:val="subscript"/>
        </w:rPr>
        <w:t>a</w:t>
      </w:r>
      <w:r w:rsidRPr="00EB486E">
        <w:rPr>
          <w:sz w:val="22"/>
          <w:szCs w:val="22"/>
        </w:rPr>
        <w:t xml:space="preserve"> (as determined using the procedures specified in §63.750(c) and (d)) are less than or equal to the HAP content limits specified in Table 1 to §63.745 for the applicable specialty coating types (less water) as applied, and all values of G</w:t>
      </w:r>
      <w:r w:rsidRPr="00EB486E">
        <w:rPr>
          <w:sz w:val="22"/>
          <w:szCs w:val="22"/>
          <w:vertAlign w:val="subscript"/>
        </w:rPr>
        <w:t>i</w:t>
      </w:r>
      <w:r w:rsidRPr="00EB486E">
        <w:rPr>
          <w:sz w:val="22"/>
          <w:szCs w:val="22"/>
        </w:rPr>
        <w:t xml:space="preserve"> and G</w:t>
      </w:r>
      <w:r w:rsidRPr="00EB486E">
        <w:rPr>
          <w:sz w:val="22"/>
          <w:szCs w:val="22"/>
          <w:vertAlign w:val="subscript"/>
        </w:rPr>
        <w:t>a</w:t>
      </w:r>
      <w:r w:rsidRPr="00EB486E">
        <w:rPr>
          <w:sz w:val="22"/>
          <w:szCs w:val="22"/>
        </w:rPr>
        <w:t xml:space="preserve"> (as determined using </w:t>
      </w:r>
      <w:r w:rsidRPr="00EB486E">
        <w:rPr>
          <w:sz w:val="22"/>
          <w:szCs w:val="22"/>
        </w:rPr>
        <w:lastRenderedPageBreak/>
        <w:t>the procedures specified in §63.750(e) and (f)) are less than or equal to the VOC content limits specified in Table 1 to §63.745 for the applicable specialty coating types (less water and exempt solvents) as applied.</w:t>
      </w:r>
    </w:p>
    <w:p w:rsidR="00EB486E" w:rsidRPr="00EB486E" w:rsidRDefault="00EB486E" w:rsidP="00EB486E">
      <w:pPr>
        <w:pStyle w:val="NormalWeb"/>
        <w:rPr>
          <w:sz w:val="22"/>
          <w:szCs w:val="22"/>
        </w:rPr>
      </w:pPr>
      <w:r w:rsidRPr="00EB486E">
        <w:rPr>
          <w:sz w:val="22"/>
          <w:szCs w:val="22"/>
        </w:rPr>
        <w:t>(ii) If a control device is used,</w:t>
      </w:r>
    </w:p>
    <w:p w:rsidR="00EB486E" w:rsidRPr="00EB486E" w:rsidRDefault="00EB486E" w:rsidP="00EB486E">
      <w:pPr>
        <w:pStyle w:val="NormalWeb"/>
        <w:rPr>
          <w:sz w:val="22"/>
          <w:szCs w:val="22"/>
        </w:rPr>
      </w:pPr>
      <w:r w:rsidRPr="00EB486E">
        <w:rPr>
          <w:sz w:val="22"/>
          <w:szCs w:val="22"/>
        </w:rPr>
        <w:t>(A) The overall control system efficiency, E</w:t>
      </w:r>
      <w:r w:rsidRPr="00EB486E">
        <w:rPr>
          <w:sz w:val="22"/>
          <w:szCs w:val="22"/>
          <w:vertAlign w:val="subscript"/>
        </w:rPr>
        <w:t>k</w:t>
      </w:r>
      <w:r w:rsidRPr="00EB486E">
        <w:rPr>
          <w:sz w:val="22"/>
          <w:szCs w:val="22"/>
        </w:rPr>
        <w:t xml:space="preserve">, as determined using the procedures specified in §63.750(g) for control systems containing carbon adsorbers and in §63.750(h) for control systems with other control devices, is equal to or greater than 81% during the initial performance test and any subsequent performance test; </w:t>
      </w:r>
    </w:p>
    <w:p w:rsidR="00EB486E" w:rsidRPr="00EB486E" w:rsidRDefault="00EB486E" w:rsidP="00EB486E">
      <w:pPr>
        <w:pStyle w:val="NormalWeb"/>
        <w:rPr>
          <w:sz w:val="22"/>
          <w:szCs w:val="22"/>
        </w:rPr>
      </w:pPr>
      <w:r w:rsidRPr="00EB486E">
        <w:rPr>
          <w:sz w:val="22"/>
          <w:szCs w:val="22"/>
        </w:rPr>
        <w:t>(B) If an incinerator other than a catalytic incinerator is used, the average combustion temperature for all 3-hour periods is greater than or equal to the average combustion temperature established under §63.751(b</w:t>
      </w:r>
      <w:proofErr w:type="gramStart"/>
      <w:r w:rsidRPr="00EB486E">
        <w:rPr>
          <w:sz w:val="22"/>
          <w:szCs w:val="22"/>
        </w:rPr>
        <w:t>)(</w:t>
      </w:r>
      <w:proofErr w:type="gramEnd"/>
      <w:r w:rsidRPr="00EB486E">
        <w:rPr>
          <w:sz w:val="22"/>
          <w:szCs w:val="22"/>
        </w:rPr>
        <w:t xml:space="preserve">11); and </w:t>
      </w:r>
    </w:p>
    <w:p w:rsidR="00EB486E" w:rsidRPr="00EB486E" w:rsidRDefault="00EB486E" w:rsidP="00EB486E">
      <w:pPr>
        <w:pStyle w:val="NormalWeb"/>
        <w:rPr>
          <w:sz w:val="22"/>
          <w:szCs w:val="22"/>
        </w:rPr>
      </w:pPr>
      <w:r w:rsidRPr="00EB486E">
        <w:rPr>
          <w:sz w:val="22"/>
          <w:szCs w:val="22"/>
        </w:rPr>
        <w:t>(C) If a catalytic incinerator is used, the average combustion temperatures for all 3-hour periods are greater than or equal to the average combustion temperatures established under §63.751(b</w:t>
      </w:r>
      <w:proofErr w:type="gramStart"/>
      <w:r w:rsidRPr="00EB486E">
        <w:rPr>
          <w:sz w:val="22"/>
          <w:szCs w:val="22"/>
        </w:rPr>
        <w:t>)(</w:t>
      </w:r>
      <w:proofErr w:type="gramEnd"/>
      <w:r w:rsidRPr="00EB486E">
        <w:rPr>
          <w:sz w:val="22"/>
          <w:szCs w:val="22"/>
        </w:rPr>
        <w:t xml:space="preserve">12). </w:t>
      </w:r>
    </w:p>
    <w:p w:rsidR="00EB486E" w:rsidRPr="00EB486E" w:rsidRDefault="00EB486E" w:rsidP="00EB486E">
      <w:pPr>
        <w:pStyle w:val="NormalWeb"/>
        <w:rPr>
          <w:sz w:val="22"/>
          <w:szCs w:val="22"/>
        </w:rPr>
      </w:pPr>
      <w:r w:rsidRPr="00EB486E">
        <w:rPr>
          <w:sz w:val="22"/>
          <w:szCs w:val="22"/>
        </w:rPr>
        <w:t>(iii)(A) Uses an application technique specified in §63.745(f)(1)(i) through (f)(1)(iv); or</w:t>
      </w:r>
    </w:p>
    <w:p w:rsidR="00EB486E" w:rsidRPr="00EB486E" w:rsidRDefault="00EB486E" w:rsidP="00EB486E">
      <w:pPr>
        <w:pStyle w:val="NormalWeb"/>
        <w:rPr>
          <w:sz w:val="22"/>
          <w:szCs w:val="22"/>
        </w:rPr>
      </w:pPr>
      <w:r w:rsidRPr="00EB486E">
        <w:rPr>
          <w:sz w:val="22"/>
          <w:szCs w:val="22"/>
        </w:rPr>
        <w:t>(B) Uses an alternative application technique, as allowed under §63.745(f)(1)(v), such that the emissions of both organic HAP and VOC for the implementation period of the alternative application method are less than or equal to the emissions generated using HVLP spray, electrostatic spray, airless spray, or air-assisted airless spray application methods, as determined using the procedures specified in §63.750(i).</w:t>
      </w:r>
    </w:p>
    <w:p w:rsidR="00EB486E" w:rsidRPr="00EB486E" w:rsidRDefault="00EB486E" w:rsidP="00EB486E">
      <w:pPr>
        <w:pStyle w:val="NormalWeb"/>
        <w:rPr>
          <w:sz w:val="22"/>
          <w:szCs w:val="22"/>
        </w:rPr>
      </w:pPr>
      <w:r w:rsidRPr="00EB486E">
        <w:rPr>
          <w:sz w:val="22"/>
          <w:szCs w:val="22"/>
        </w:rPr>
        <w:t xml:space="preserve">(iv) Operates all application techniques in accordance with the manufacturer's specifications or locally prepared operating procedures. </w:t>
      </w:r>
    </w:p>
    <w:p w:rsidR="00EB486E" w:rsidRPr="00EB486E" w:rsidRDefault="00EB486E" w:rsidP="00EB486E">
      <w:pPr>
        <w:pStyle w:val="NormalWeb"/>
        <w:rPr>
          <w:sz w:val="22"/>
          <w:szCs w:val="22"/>
        </w:rPr>
      </w:pPr>
      <w:r w:rsidRPr="00EB486E">
        <w:rPr>
          <w:sz w:val="22"/>
          <w:szCs w:val="22"/>
        </w:rPr>
        <w:t xml:space="preserve">(e) </w:t>
      </w:r>
      <w:r w:rsidRPr="00EB486E">
        <w:rPr>
          <w:i/>
          <w:iCs/>
          <w:sz w:val="22"/>
          <w:szCs w:val="22"/>
        </w:rPr>
        <w:t>Inorganic HAP emissions—primer, topcoat, and specialty coating application operations.</w:t>
      </w:r>
      <w:r w:rsidRPr="00EB486E">
        <w:rPr>
          <w:sz w:val="22"/>
          <w:szCs w:val="22"/>
        </w:rPr>
        <w:t xml:space="preserve"> For each primer, topcoat, or specialty coating application operation that emits inorganic HAP, the operation </w:t>
      </w:r>
      <w:proofErr w:type="gramStart"/>
      <w:r w:rsidRPr="00EB486E">
        <w:rPr>
          <w:sz w:val="22"/>
          <w:szCs w:val="22"/>
        </w:rPr>
        <w:t>is in compliance</w:t>
      </w:r>
      <w:proofErr w:type="gramEnd"/>
      <w:r w:rsidRPr="00EB486E">
        <w:rPr>
          <w:sz w:val="22"/>
          <w:szCs w:val="22"/>
        </w:rPr>
        <w:t xml:space="preserve"> when:</w:t>
      </w:r>
    </w:p>
    <w:p w:rsidR="00EB486E" w:rsidRPr="00EB486E" w:rsidRDefault="00EB486E" w:rsidP="00EB486E">
      <w:pPr>
        <w:pStyle w:val="NormalWeb"/>
        <w:rPr>
          <w:sz w:val="22"/>
          <w:szCs w:val="22"/>
        </w:rPr>
      </w:pPr>
      <w:r w:rsidRPr="00EB486E">
        <w:rPr>
          <w:sz w:val="22"/>
          <w:szCs w:val="22"/>
        </w:rPr>
        <w:t xml:space="preserve">(1) It is operated according to the requirements specified in §63.745(g)(1) through (g)(3); and </w:t>
      </w:r>
    </w:p>
    <w:p w:rsidR="00EB486E" w:rsidRPr="00EB486E" w:rsidRDefault="00EB486E" w:rsidP="00EB486E">
      <w:pPr>
        <w:pStyle w:val="NormalWeb"/>
        <w:rPr>
          <w:sz w:val="22"/>
          <w:szCs w:val="22"/>
        </w:rPr>
      </w:pPr>
      <w:r w:rsidRPr="00EB486E">
        <w:rPr>
          <w:sz w:val="22"/>
          <w:szCs w:val="22"/>
        </w:rPr>
        <w:t xml:space="preserve">(2) It is shut down immediately whenever the pressure drop or water flow rate is outside the limit(s) established for them and is not restarted until the pressure drop or water flow rate is returned within these limit(s), as required under §63.745(g)(3). </w:t>
      </w:r>
    </w:p>
    <w:p w:rsidR="00EB486E" w:rsidRPr="00EB486E" w:rsidRDefault="00EB486E" w:rsidP="00EB486E">
      <w:pPr>
        <w:pStyle w:val="NormalWeb"/>
        <w:rPr>
          <w:sz w:val="22"/>
          <w:szCs w:val="22"/>
        </w:rPr>
      </w:pPr>
      <w:r w:rsidRPr="00EB486E">
        <w:rPr>
          <w:sz w:val="22"/>
          <w:szCs w:val="22"/>
        </w:rPr>
        <w:t xml:space="preserve">(f) </w:t>
      </w:r>
      <w:r w:rsidRPr="00EB486E">
        <w:rPr>
          <w:i/>
          <w:iCs/>
          <w:sz w:val="22"/>
          <w:szCs w:val="22"/>
        </w:rPr>
        <w:t>Organic HAP emissions—Depainting operations</w:t>
      </w:r>
      <w:proofErr w:type="gramStart"/>
      <w:r w:rsidRPr="00EB486E">
        <w:rPr>
          <w:sz w:val="22"/>
          <w:szCs w:val="22"/>
        </w:rPr>
        <w:t>—(</w:t>
      </w:r>
      <w:proofErr w:type="gramEnd"/>
      <w:r w:rsidRPr="00EB486E">
        <w:rPr>
          <w:sz w:val="22"/>
          <w:szCs w:val="22"/>
        </w:rPr>
        <w:t xml:space="preserve">1) </w:t>
      </w:r>
      <w:r w:rsidRPr="00EB486E">
        <w:rPr>
          <w:i/>
          <w:iCs/>
          <w:sz w:val="22"/>
          <w:szCs w:val="22"/>
        </w:rPr>
        <w:t>Performance test periods.</w:t>
      </w:r>
      <w:r w:rsidRPr="00EB486E">
        <w:rPr>
          <w:sz w:val="22"/>
          <w:szCs w:val="22"/>
        </w:rPr>
        <w:t xml:space="preserve"> When using a control device other than a carbon adsorber, three 1-hour runs constitute the test period for the initial and any subsequent performance test. When a carbon adsorber is used, each rolling material balance period is considered a performance test. Each 24-hour period is considered a performance test period for determining compliance with §63.746(b)(1). For uncontrolled organic emissions from depainting operations, each calendar year is considered a performance test period for determining compliance with the HAP limits for organic HAP-containing chemical strippers used for spot stripping and decal removal. </w:t>
      </w:r>
    </w:p>
    <w:p w:rsidR="00EB486E" w:rsidRPr="00EB486E" w:rsidRDefault="00EB486E" w:rsidP="00EB486E">
      <w:pPr>
        <w:pStyle w:val="NormalWeb"/>
        <w:rPr>
          <w:sz w:val="22"/>
          <w:szCs w:val="22"/>
        </w:rPr>
      </w:pPr>
      <w:r w:rsidRPr="00EB486E">
        <w:rPr>
          <w:sz w:val="22"/>
          <w:szCs w:val="22"/>
        </w:rPr>
        <w:t xml:space="preserve">(2) </w:t>
      </w:r>
      <w:r w:rsidRPr="00EB486E">
        <w:rPr>
          <w:i/>
          <w:iCs/>
          <w:sz w:val="22"/>
          <w:szCs w:val="22"/>
        </w:rPr>
        <w:t>Initial performance tests.</w:t>
      </w:r>
      <w:r w:rsidRPr="00EB486E">
        <w:rPr>
          <w:sz w:val="22"/>
          <w:szCs w:val="22"/>
        </w:rPr>
        <w:t xml:space="preserve"> If a control device is used, each owner or operator shall conduct an initial performance test to demonstrate compliance with the overall reduction efficiency specified in §63.746(c), unless a waiver is obtained under either §63.7(e)(2)(iv) or §63.7(h). The initial performance test shall be conducted according to the procedures and test methods specified in §§63.7 and 63.750(g) for carbon adsorbers and in §63.750(h) for control devices other than carbon adsorbers. For carbon adsorbers, the initial performance test </w:t>
      </w:r>
      <w:r w:rsidRPr="00EB486E">
        <w:rPr>
          <w:sz w:val="22"/>
          <w:szCs w:val="22"/>
        </w:rPr>
        <w:lastRenderedPageBreak/>
        <w:t xml:space="preserve">shall be used to establish the appropriate rolling material balance period for determining compliance. The procedures in paragraphs (2)(i) through (2)(vi) of this section shall be used in determining initial compliance with the provisions of this subpart for carbon adsorbers. </w:t>
      </w:r>
    </w:p>
    <w:p w:rsidR="00EB486E" w:rsidRPr="00EB486E" w:rsidRDefault="00EB486E" w:rsidP="00EB486E">
      <w:pPr>
        <w:pStyle w:val="NormalWeb"/>
        <w:rPr>
          <w:sz w:val="22"/>
          <w:szCs w:val="22"/>
        </w:rPr>
      </w:pPr>
      <w:r w:rsidRPr="00EB486E">
        <w:rPr>
          <w:sz w:val="22"/>
          <w:szCs w:val="22"/>
        </w:rPr>
        <w:t xml:space="preserve">(i)(A) When either EPA Method 18 or EPA Method 25A is to be used in the determination of the efficiency of a fixed-bed carbon adsorption system with a common exhaust stack for all the individual carbon adsorber vessels pursuant to §63.750(g)(2) or (4), the test shall consist of three separate runs, each coinciding with one or more complete sequences through the adsorption cycles of </w:t>
      </w:r>
      <w:proofErr w:type="gramStart"/>
      <w:r w:rsidRPr="00EB486E">
        <w:rPr>
          <w:sz w:val="22"/>
          <w:szCs w:val="22"/>
        </w:rPr>
        <w:t>all of</w:t>
      </w:r>
      <w:proofErr w:type="gramEnd"/>
      <w:r w:rsidRPr="00EB486E">
        <w:rPr>
          <w:sz w:val="22"/>
          <w:szCs w:val="22"/>
        </w:rPr>
        <w:t xml:space="preserve"> the individual carbon adsorber vessels. </w:t>
      </w:r>
    </w:p>
    <w:p w:rsidR="00EB486E" w:rsidRPr="00EB486E" w:rsidRDefault="00EB486E" w:rsidP="00EB486E">
      <w:pPr>
        <w:pStyle w:val="NormalWeb"/>
        <w:rPr>
          <w:sz w:val="22"/>
          <w:szCs w:val="22"/>
        </w:rPr>
      </w:pPr>
      <w:r w:rsidRPr="00EB486E">
        <w:rPr>
          <w:sz w:val="22"/>
          <w:szCs w:val="22"/>
        </w:rPr>
        <w:t xml:space="preserve">(B) When either EPA Method 18 or EPA Method 25A is to be used in the determination of the efficiency of a fixed-bed carbon adsorption system with individual exhaust stacks for each carbon adsorber vessel pursuant to §63.750(g) (3) or (4), each carbon adsorber vessel shall be tested individually. The test for each carbon adsorber vessel shall consist of three separate runs. Each run shall coincide with one or more complete adsorption cycles. </w:t>
      </w:r>
    </w:p>
    <w:p w:rsidR="00EB486E" w:rsidRPr="00EB486E" w:rsidRDefault="00EB486E" w:rsidP="00EB486E">
      <w:pPr>
        <w:pStyle w:val="NormalWeb"/>
        <w:rPr>
          <w:sz w:val="22"/>
          <w:szCs w:val="22"/>
        </w:rPr>
      </w:pPr>
      <w:r w:rsidRPr="00EB486E">
        <w:rPr>
          <w:sz w:val="22"/>
          <w:szCs w:val="22"/>
        </w:rPr>
        <w:t xml:space="preserve">(ii) EPA Method 1 or 1A of appendix A of part 60 is used for sample and velocity traverses. </w:t>
      </w:r>
    </w:p>
    <w:p w:rsidR="00EB486E" w:rsidRPr="00EB486E" w:rsidRDefault="00EB486E" w:rsidP="00EB486E">
      <w:pPr>
        <w:pStyle w:val="NormalWeb"/>
        <w:rPr>
          <w:sz w:val="22"/>
          <w:szCs w:val="22"/>
        </w:rPr>
      </w:pPr>
      <w:r w:rsidRPr="00EB486E">
        <w:rPr>
          <w:sz w:val="22"/>
          <w:szCs w:val="22"/>
        </w:rPr>
        <w:t xml:space="preserve">(iii) EPA Method 2, 2A, 2C, or 2D of appendix A of part 60 is used for velocity and volumetric flow rates. </w:t>
      </w:r>
    </w:p>
    <w:p w:rsidR="00EB486E" w:rsidRPr="00EB486E" w:rsidRDefault="00EB486E" w:rsidP="00EB486E">
      <w:pPr>
        <w:pStyle w:val="NormalWeb"/>
        <w:rPr>
          <w:sz w:val="22"/>
          <w:szCs w:val="22"/>
        </w:rPr>
      </w:pPr>
      <w:r w:rsidRPr="00EB486E">
        <w:rPr>
          <w:sz w:val="22"/>
          <w:szCs w:val="22"/>
        </w:rPr>
        <w:t xml:space="preserve">(iv) EPA Method 3 of appendix A of part 60 is used for gas analysis. </w:t>
      </w:r>
    </w:p>
    <w:p w:rsidR="00EB486E" w:rsidRPr="00EB486E" w:rsidRDefault="00EB486E" w:rsidP="00EB486E">
      <w:pPr>
        <w:pStyle w:val="NormalWeb"/>
        <w:rPr>
          <w:sz w:val="22"/>
          <w:szCs w:val="22"/>
        </w:rPr>
      </w:pPr>
      <w:r w:rsidRPr="00EB486E">
        <w:rPr>
          <w:sz w:val="22"/>
          <w:szCs w:val="22"/>
        </w:rPr>
        <w:t xml:space="preserve">(v) EPA Method 4 of appendix A of part 60 is used for stack gas moisture. </w:t>
      </w:r>
    </w:p>
    <w:p w:rsidR="00EB486E" w:rsidRPr="00EB486E" w:rsidRDefault="00EB486E" w:rsidP="00EB486E">
      <w:pPr>
        <w:pStyle w:val="NormalWeb"/>
        <w:rPr>
          <w:sz w:val="22"/>
          <w:szCs w:val="22"/>
        </w:rPr>
      </w:pPr>
      <w:r w:rsidRPr="00EB486E">
        <w:rPr>
          <w:sz w:val="22"/>
          <w:szCs w:val="22"/>
        </w:rPr>
        <w:t xml:space="preserve">(vi) EPA Methods 2, 2A, 2C, 2D, 3, and 4 shall be performed, as applicable, at least twice during each test period. </w:t>
      </w:r>
    </w:p>
    <w:p w:rsidR="00EB486E" w:rsidRPr="00EB486E" w:rsidRDefault="00EB486E" w:rsidP="00EB486E">
      <w:pPr>
        <w:pStyle w:val="NormalWeb"/>
        <w:rPr>
          <w:sz w:val="22"/>
          <w:szCs w:val="22"/>
        </w:rPr>
      </w:pPr>
      <w:r w:rsidRPr="00EB486E">
        <w:rPr>
          <w:sz w:val="22"/>
          <w:szCs w:val="22"/>
        </w:rPr>
        <w:t xml:space="preserve">(3) An organic HAP-containing chemical stripper depainting operation is considered in compliance when the conditions specified in paragraph (g)(3)(i) of this section are met. </w:t>
      </w:r>
    </w:p>
    <w:p w:rsidR="00EB486E" w:rsidRPr="00EB486E" w:rsidRDefault="00EB486E" w:rsidP="00EB486E">
      <w:pPr>
        <w:pStyle w:val="NormalWeb"/>
        <w:rPr>
          <w:sz w:val="22"/>
          <w:szCs w:val="22"/>
        </w:rPr>
      </w:pPr>
      <w:r w:rsidRPr="00EB486E">
        <w:rPr>
          <w:sz w:val="22"/>
          <w:szCs w:val="22"/>
        </w:rPr>
        <w:t xml:space="preserve">(i) If a carbon adsorber (or other control device) is used, the overall control efficiency of the control system, as determined using the procedures specified in §63.750(g) (or other control device as determined using the procedures specified in §63.750(h)), is equal to or greater than 81% for control systems installed before the effective date, or equal to or greater than 95% for control systems installed on or after the effective date, during the initial performance test and all subsequent material balances (or performance tests, as appropriate). </w:t>
      </w:r>
    </w:p>
    <w:p w:rsidR="00EB486E" w:rsidRPr="00EB486E" w:rsidRDefault="00EB486E" w:rsidP="00EB486E">
      <w:pPr>
        <w:pStyle w:val="NormalWeb"/>
        <w:rPr>
          <w:sz w:val="22"/>
          <w:szCs w:val="22"/>
        </w:rPr>
      </w:pPr>
      <w:r w:rsidRPr="00EB486E">
        <w:rPr>
          <w:sz w:val="22"/>
          <w:szCs w:val="22"/>
        </w:rPr>
        <w:t xml:space="preserve">(ii) For non-HAP depainting operations complying with §63.746(b)(1); </w:t>
      </w:r>
    </w:p>
    <w:p w:rsidR="00EB486E" w:rsidRPr="00EB486E" w:rsidRDefault="00EB486E" w:rsidP="00EB486E">
      <w:pPr>
        <w:pStyle w:val="NormalWeb"/>
        <w:rPr>
          <w:sz w:val="22"/>
          <w:szCs w:val="22"/>
        </w:rPr>
      </w:pPr>
      <w:r w:rsidRPr="00EB486E">
        <w:rPr>
          <w:sz w:val="22"/>
          <w:szCs w:val="22"/>
        </w:rPr>
        <w:t>(A) For any spot stripping and decal removal, the value of C, as determined using the procedures specified in §63.750(j), is less than or equal to 26 gallons of organic HAP-containing chemical stripper or 190 pounds of organic HAP per commercial aircraft depainted calculated on a yearly average; and is less than or equal to 50 gallons of organic HAP-containing chemical stripper or 365 pounds of organic HAP per military aircraft depainted calculated on a yearly average; and</w:t>
      </w:r>
    </w:p>
    <w:p w:rsidR="00EB486E" w:rsidRPr="00EB486E" w:rsidRDefault="00EB486E" w:rsidP="00EB486E">
      <w:pPr>
        <w:pStyle w:val="NormalWeb"/>
        <w:rPr>
          <w:sz w:val="22"/>
          <w:szCs w:val="22"/>
        </w:rPr>
      </w:pPr>
      <w:r w:rsidRPr="00EB486E">
        <w:rPr>
          <w:sz w:val="22"/>
          <w:szCs w:val="22"/>
        </w:rPr>
        <w:t xml:space="preserve">(B) The requirements of §63.746(b)(2) are carried out during malfunctions of non-chemical based equipment. </w:t>
      </w:r>
    </w:p>
    <w:p w:rsidR="00EB486E" w:rsidRPr="00EB486E" w:rsidRDefault="00EB486E" w:rsidP="00EB486E">
      <w:pPr>
        <w:pStyle w:val="NormalWeb"/>
        <w:rPr>
          <w:sz w:val="22"/>
          <w:szCs w:val="22"/>
        </w:rPr>
      </w:pPr>
      <w:r w:rsidRPr="00EB486E">
        <w:rPr>
          <w:sz w:val="22"/>
          <w:szCs w:val="22"/>
        </w:rPr>
        <w:t xml:space="preserve">(g) </w:t>
      </w:r>
      <w:r w:rsidRPr="00EB486E">
        <w:rPr>
          <w:i/>
          <w:iCs/>
          <w:sz w:val="22"/>
          <w:szCs w:val="22"/>
        </w:rPr>
        <w:t>Inorganic HAP emissions—depainting operations.</w:t>
      </w:r>
      <w:r w:rsidRPr="00EB486E">
        <w:rPr>
          <w:sz w:val="22"/>
          <w:szCs w:val="22"/>
        </w:rPr>
        <w:t xml:space="preserve"> Each depainting operation </w:t>
      </w:r>
      <w:proofErr w:type="gramStart"/>
      <w:r w:rsidRPr="00EB486E">
        <w:rPr>
          <w:sz w:val="22"/>
          <w:szCs w:val="22"/>
        </w:rPr>
        <w:t>is in compliance</w:t>
      </w:r>
      <w:proofErr w:type="gramEnd"/>
      <w:r w:rsidRPr="00EB486E">
        <w:rPr>
          <w:sz w:val="22"/>
          <w:szCs w:val="22"/>
        </w:rPr>
        <w:t xml:space="preserve"> when: </w:t>
      </w:r>
    </w:p>
    <w:p w:rsidR="00EB486E" w:rsidRPr="00EB486E" w:rsidRDefault="00EB486E" w:rsidP="00EB486E">
      <w:pPr>
        <w:pStyle w:val="NormalWeb"/>
        <w:rPr>
          <w:sz w:val="22"/>
          <w:szCs w:val="22"/>
        </w:rPr>
      </w:pPr>
      <w:r w:rsidRPr="00EB486E">
        <w:rPr>
          <w:sz w:val="22"/>
          <w:szCs w:val="22"/>
        </w:rPr>
        <w:t xml:space="preserve">(1) The operating requirements specified in §63.746(b)(4) are followed; and </w:t>
      </w:r>
    </w:p>
    <w:p w:rsidR="00EB486E" w:rsidRPr="00EB486E" w:rsidRDefault="00EB486E" w:rsidP="00EB486E">
      <w:pPr>
        <w:pStyle w:val="NormalWeb"/>
        <w:rPr>
          <w:sz w:val="22"/>
          <w:szCs w:val="22"/>
        </w:rPr>
      </w:pPr>
      <w:r w:rsidRPr="00EB486E">
        <w:rPr>
          <w:sz w:val="22"/>
          <w:szCs w:val="22"/>
        </w:rPr>
        <w:lastRenderedPageBreak/>
        <w:t xml:space="preserve">(2) It is shut down immediately whenever the pressure drop or water flow rate is outside the limit(s) established for them and is not restarted until the pressure drop or water flow rate is returned within these limit(s), as required under §63.746(b)(4)(v). </w:t>
      </w:r>
    </w:p>
    <w:p w:rsidR="00EB486E" w:rsidRPr="00EB486E" w:rsidRDefault="00EB486E" w:rsidP="00EB486E">
      <w:pPr>
        <w:pStyle w:val="NormalWeb"/>
        <w:rPr>
          <w:sz w:val="22"/>
          <w:szCs w:val="22"/>
        </w:rPr>
      </w:pPr>
      <w:r w:rsidRPr="00EB486E">
        <w:rPr>
          <w:sz w:val="22"/>
          <w:szCs w:val="22"/>
        </w:rPr>
        <w:t xml:space="preserve">(h) </w:t>
      </w:r>
      <w:r w:rsidRPr="00EB486E">
        <w:rPr>
          <w:i/>
          <w:iCs/>
          <w:sz w:val="22"/>
          <w:szCs w:val="22"/>
        </w:rPr>
        <w:t>Chemical milling maskant application operations</w:t>
      </w:r>
      <w:proofErr w:type="gramStart"/>
      <w:r w:rsidRPr="00EB486E">
        <w:rPr>
          <w:sz w:val="22"/>
          <w:szCs w:val="22"/>
        </w:rPr>
        <w:t>—(</w:t>
      </w:r>
      <w:proofErr w:type="gramEnd"/>
      <w:r w:rsidRPr="00EB486E">
        <w:rPr>
          <w:sz w:val="22"/>
          <w:szCs w:val="22"/>
        </w:rPr>
        <w:t xml:space="preserve">1) </w:t>
      </w:r>
      <w:r w:rsidRPr="00EB486E">
        <w:rPr>
          <w:i/>
          <w:iCs/>
          <w:sz w:val="22"/>
          <w:szCs w:val="22"/>
        </w:rPr>
        <w:t>Performance test periods.</w:t>
      </w:r>
      <w:r w:rsidRPr="00EB486E">
        <w:rPr>
          <w:sz w:val="22"/>
          <w:szCs w:val="22"/>
        </w:rPr>
        <w:t xml:space="preserve"> For uncontrolled chemical milling maskants that are not averaged, each 24-hour period is considered a performance test. For compliant and noncompliant chemical milling maskants that are averaged together, each 30-day period is considered a performance test, unless the permitting agency specifies a shorter period as part of an ambient ozone control program. When using a control device other than a carbon adsorber, three 1-hour runs constitute the test period for the initial and any subsequent performance test. When a carbon adsorber is used, each rolling material balance period is considered a performance test. </w:t>
      </w:r>
    </w:p>
    <w:p w:rsidR="00EB486E" w:rsidRPr="00EB486E" w:rsidRDefault="00EB486E" w:rsidP="00EB486E">
      <w:pPr>
        <w:pStyle w:val="NormalWeb"/>
        <w:rPr>
          <w:sz w:val="22"/>
          <w:szCs w:val="22"/>
        </w:rPr>
      </w:pPr>
      <w:r w:rsidRPr="00EB486E">
        <w:rPr>
          <w:sz w:val="22"/>
          <w:szCs w:val="22"/>
        </w:rPr>
        <w:t xml:space="preserve">(2) </w:t>
      </w:r>
      <w:r w:rsidRPr="00EB486E">
        <w:rPr>
          <w:i/>
          <w:iCs/>
          <w:sz w:val="22"/>
          <w:szCs w:val="22"/>
        </w:rPr>
        <w:t>Initial performance tests.</w:t>
      </w:r>
      <w:r w:rsidRPr="00EB486E">
        <w:rPr>
          <w:sz w:val="22"/>
          <w:szCs w:val="22"/>
        </w:rPr>
        <w:t xml:space="preserve"> If a control device is used, each owner or operator shall conduct an initial performance test to demonstrate compliance with the overall reduction efficiency specified in §63.747(d), unless a waiver is obtained under either §63.7(e)(2)(iv) or §63.7(h). The initial performance test shall be conducted according to the procedures and test methods specified in §63.7 and §63.750(g) for carbon adsorbers and in §63.750(h) for control devices other than carbon adsorbers. For carbon adsorbers, the initial performance test shall be used to establish the appropriate rolling material balance period for determining compliance. The procedures in paragraphs (h)(2) (i) through (vi) of this section shall be used in determining initial compliance with the provisions of this subpart for carbon adsorbers. </w:t>
      </w:r>
    </w:p>
    <w:p w:rsidR="00EB486E" w:rsidRPr="00EB486E" w:rsidRDefault="00EB486E" w:rsidP="00EB486E">
      <w:pPr>
        <w:pStyle w:val="NormalWeb"/>
        <w:rPr>
          <w:sz w:val="22"/>
          <w:szCs w:val="22"/>
        </w:rPr>
      </w:pPr>
      <w:r w:rsidRPr="00EB486E">
        <w:rPr>
          <w:sz w:val="22"/>
          <w:szCs w:val="22"/>
        </w:rPr>
        <w:t xml:space="preserve">(i)(A) When either EPA Method 18 or EPA Method 25A is to be used in the determination of the efficiency of a fixed-bed carbon adsorption system with a common exhaust stack for all the individual carbon adsorber vessels pursuant to §63.750(g) (2) or (4), the test shall consist of three separate runs, each coinciding with one or more complete sequences through the adsorption cycles of </w:t>
      </w:r>
      <w:proofErr w:type="gramStart"/>
      <w:r w:rsidRPr="00EB486E">
        <w:rPr>
          <w:sz w:val="22"/>
          <w:szCs w:val="22"/>
        </w:rPr>
        <w:t>all of</w:t>
      </w:r>
      <w:proofErr w:type="gramEnd"/>
      <w:r w:rsidRPr="00EB486E">
        <w:rPr>
          <w:sz w:val="22"/>
          <w:szCs w:val="22"/>
        </w:rPr>
        <w:t xml:space="preserve"> the individual carbon adsorber vessels. </w:t>
      </w:r>
    </w:p>
    <w:p w:rsidR="00EB486E" w:rsidRPr="00EB486E" w:rsidRDefault="00EB486E" w:rsidP="00EB486E">
      <w:pPr>
        <w:pStyle w:val="NormalWeb"/>
        <w:rPr>
          <w:sz w:val="22"/>
          <w:szCs w:val="22"/>
        </w:rPr>
      </w:pPr>
      <w:r w:rsidRPr="00EB486E">
        <w:rPr>
          <w:sz w:val="22"/>
          <w:szCs w:val="22"/>
        </w:rPr>
        <w:t xml:space="preserve">(B) When either EPA Method 18 or EPA Method 25A is to be used in the determination of the efficiency of a fixed-bed carbon adsorption system with individual exhaust stacks for each carbon adsorber vessel pursuant to §63.750(g) (3) or (4), each carbon adsorber vessel shall be tested individually. The test for each carbon adsorber vessel shall consist of three separate runs. Each run shall coincide with one or more complete adsorption cycles. </w:t>
      </w:r>
    </w:p>
    <w:p w:rsidR="00EB486E" w:rsidRPr="00EB486E" w:rsidRDefault="00EB486E" w:rsidP="00EB486E">
      <w:pPr>
        <w:pStyle w:val="NormalWeb"/>
        <w:rPr>
          <w:sz w:val="22"/>
          <w:szCs w:val="22"/>
        </w:rPr>
      </w:pPr>
      <w:r w:rsidRPr="00EB486E">
        <w:rPr>
          <w:sz w:val="22"/>
          <w:szCs w:val="22"/>
        </w:rPr>
        <w:t xml:space="preserve">(ii) EPA Method 1 or 1A of appendix A of part 60 is used for sample and velocity traverses. </w:t>
      </w:r>
    </w:p>
    <w:p w:rsidR="00EB486E" w:rsidRPr="00EB486E" w:rsidRDefault="00EB486E" w:rsidP="00EB486E">
      <w:pPr>
        <w:pStyle w:val="NormalWeb"/>
        <w:rPr>
          <w:sz w:val="22"/>
          <w:szCs w:val="22"/>
        </w:rPr>
      </w:pPr>
      <w:r w:rsidRPr="00EB486E">
        <w:rPr>
          <w:sz w:val="22"/>
          <w:szCs w:val="22"/>
        </w:rPr>
        <w:t xml:space="preserve">(iii) EPA Method 2, 2A, 2C, or 2D of appendix A of part 60 is used for velocity and volumetric flow rates. </w:t>
      </w:r>
    </w:p>
    <w:p w:rsidR="00EB486E" w:rsidRPr="00EB486E" w:rsidRDefault="00EB486E" w:rsidP="00EB486E">
      <w:pPr>
        <w:pStyle w:val="NormalWeb"/>
        <w:rPr>
          <w:sz w:val="22"/>
          <w:szCs w:val="22"/>
        </w:rPr>
      </w:pPr>
      <w:r w:rsidRPr="00EB486E">
        <w:rPr>
          <w:sz w:val="22"/>
          <w:szCs w:val="22"/>
        </w:rPr>
        <w:t xml:space="preserve">(iv) EPA Method 3 of appendix A of part 60 is used for gas analysis. </w:t>
      </w:r>
    </w:p>
    <w:p w:rsidR="00EB486E" w:rsidRPr="00EB486E" w:rsidRDefault="00EB486E" w:rsidP="00EB486E">
      <w:pPr>
        <w:pStyle w:val="NormalWeb"/>
        <w:rPr>
          <w:sz w:val="22"/>
          <w:szCs w:val="22"/>
        </w:rPr>
      </w:pPr>
      <w:r w:rsidRPr="00EB486E">
        <w:rPr>
          <w:sz w:val="22"/>
          <w:szCs w:val="22"/>
        </w:rPr>
        <w:t xml:space="preserve">(v) EPA Method 4 of appendix A of part 60 is used for stack gas moisture. </w:t>
      </w:r>
    </w:p>
    <w:p w:rsidR="00EB486E" w:rsidRPr="00EB486E" w:rsidRDefault="00EB486E" w:rsidP="00EB486E">
      <w:pPr>
        <w:pStyle w:val="NormalWeb"/>
        <w:rPr>
          <w:sz w:val="22"/>
          <w:szCs w:val="22"/>
        </w:rPr>
      </w:pPr>
      <w:r w:rsidRPr="00EB486E">
        <w:rPr>
          <w:sz w:val="22"/>
          <w:szCs w:val="22"/>
        </w:rPr>
        <w:t xml:space="preserve">(vi) EPA Methods 2, 2A, 2C, 2D, 3, and 4 shall be performed, as applicable, at least twice during each test period. </w:t>
      </w:r>
    </w:p>
    <w:p w:rsidR="00EB486E" w:rsidRPr="00EB486E" w:rsidRDefault="00EB486E" w:rsidP="00EB486E">
      <w:pPr>
        <w:pStyle w:val="NormalWeb"/>
        <w:rPr>
          <w:sz w:val="22"/>
          <w:szCs w:val="22"/>
        </w:rPr>
      </w:pPr>
      <w:r w:rsidRPr="00EB486E">
        <w:rPr>
          <w:sz w:val="22"/>
          <w:szCs w:val="22"/>
        </w:rPr>
        <w:t>(3) The chemical milling maskant application operation is considered in compliance when the conditions specified in paragraphs (i)(3)(i) and (ii) of this section are met. The compliance demonstration for a chemical milling maskant may be based on the organic HAP content or the VOC content of the chemical milling maskant; demonstrating compliance with both the HAP content limit and the VOC content limit is not required. If a chemical milling maskant contains HAP solvents that are exempt from the definition of VOC in §63.741 and 40 CFR 51.100, then the HAP content must be used to demonstrate compliance.</w:t>
      </w:r>
    </w:p>
    <w:p w:rsidR="00EB486E" w:rsidRPr="00EB486E" w:rsidRDefault="00EB486E" w:rsidP="00EB486E">
      <w:pPr>
        <w:pStyle w:val="NormalWeb"/>
        <w:rPr>
          <w:sz w:val="22"/>
          <w:szCs w:val="22"/>
        </w:rPr>
      </w:pPr>
      <w:r w:rsidRPr="00EB486E">
        <w:rPr>
          <w:sz w:val="22"/>
          <w:szCs w:val="22"/>
        </w:rPr>
        <w:lastRenderedPageBreak/>
        <w:t>(i) For all uncontrolled chemical milling maskants, all values of H</w:t>
      </w:r>
      <w:r w:rsidRPr="00EB486E">
        <w:rPr>
          <w:sz w:val="22"/>
          <w:szCs w:val="22"/>
          <w:vertAlign w:val="subscript"/>
        </w:rPr>
        <w:t>i</w:t>
      </w:r>
      <w:r w:rsidRPr="00EB486E">
        <w:rPr>
          <w:sz w:val="22"/>
          <w:szCs w:val="22"/>
        </w:rPr>
        <w:t xml:space="preserve"> and H</w:t>
      </w:r>
      <w:r w:rsidRPr="00EB486E">
        <w:rPr>
          <w:sz w:val="22"/>
          <w:szCs w:val="22"/>
          <w:vertAlign w:val="subscript"/>
        </w:rPr>
        <w:t>a</w:t>
      </w:r>
      <w:r w:rsidRPr="00EB486E">
        <w:rPr>
          <w:sz w:val="22"/>
          <w:szCs w:val="22"/>
        </w:rPr>
        <w:t xml:space="preserve"> (as determined using the procedures specified in §63.750 (k) and (l)) are less than or equal to 622 grams of organic HAP per liter (5.2 lb/gal) of Type I chemical milling maskant as applied (less water), and 160 grams of organic HAP per liter (1.3 lb/gal) of Type II chemical milling maskant as applied (less water). All values of G</w:t>
      </w:r>
      <w:r w:rsidRPr="00EB486E">
        <w:rPr>
          <w:sz w:val="22"/>
          <w:szCs w:val="22"/>
          <w:vertAlign w:val="subscript"/>
        </w:rPr>
        <w:t>i</w:t>
      </w:r>
      <w:r w:rsidRPr="00EB486E">
        <w:rPr>
          <w:sz w:val="22"/>
          <w:szCs w:val="22"/>
        </w:rPr>
        <w:t xml:space="preserve"> and G</w:t>
      </w:r>
      <w:r w:rsidRPr="00EB486E">
        <w:rPr>
          <w:sz w:val="22"/>
          <w:szCs w:val="22"/>
          <w:vertAlign w:val="subscript"/>
        </w:rPr>
        <w:t>a</w:t>
      </w:r>
      <w:r w:rsidRPr="00EB486E">
        <w:rPr>
          <w:sz w:val="22"/>
          <w:szCs w:val="22"/>
        </w:rPr>
        <w:t xml:space="preserve"> (as determined using the procedures specified in §63.750 (m) and (n)) are less than or equal to 622 grams of VOC per liter (5.2 lb/gal) of Type I chemical milling maskant as applied (less water and exempt solvents), and 160 grams of VOC per liter (1.3 lb/gal) of Type II chemical milling maskant (less water and exempt solvents) as applied.</w:t>
      </w:r>
    </w:p>
    <w:p w:rsidR="00EB486E" w:rsidRPr="00EB486E" w:rsidRDefault="00EB486E" w:rsidP="00EB486E">
      <w:pPr>
        <w:pStyle w:val="NormalWeb"/>
        <w:rPr>
          <w:sz w:val="22"/>
          <w:szCs w:val="22"/>
        </w:rPr>
      </w:pPr>
      <w:r w:rsidRPr="00EB486E">
        <w:rPr>
          <w:sz w:val="22"/>
          <w:szCs w:val="22"/>
        </w:rPr>
        <w:t xml:space="preserve">(ii) If a carbon adsorber (or other control device) is used, the overall control efficiency of the control system, as determined using the procedures specified in §63.750(g) (or systems with other control devices as determined using the procedures specified in §63.750(h)), is equal to or greater than 81% during the initial performance test period and all subsequent material balances (or performance tests, as appropriate). </w:t>
      </w:r>
    </w:p>
    <w:p w:rsidR="00EB486E" w:rsidRPr="00EB486E" w:rsidRDefault="00EB486E" w:rsidP="00EB486E">
      <w:pPr>
        <w:pStyle w:val="NormalWeb"/>
        <w:rPr>
          <w:sz w:val="22"/>
          <w:szCs w:val="22"/>
        </w:rPr>
      </w:pPr>
      <w:r w:rsidRPr="00EB486E">
        <w:rPr>
          <w:sz w:val="22"/>
          <w:szCs w:val="22"/>
        </w:rPr>
        <w:t xml:space="preserve">(i) </w:t>
      </w:r>
      <w:r w:rsidRPr="00EB486E">
        <w:rPr>
          <w:i/>
          <w:iCs/>
          <w:sz w:val="22"/>
          <w:szCs w:val="22"/>
        </w:rPr>
        <w:t>Handling and storage of waste.</w:t>
      </w:r>
      <w:r w:rsidRPr="00EB486E">
        <w:rPr>
          <w:sz w:val="22"/>
          <w:szCs w:val="22"/>
        </w:rPr>
        <w:t xml:space="preserve"> For those wastes subject to this subpart, failure to comply with the requirements specified in §63.748 shall be considered a violation. </w:t>
      </w:r>
    </w:p>
    <w:p w:rsidR="00EB486E" w:rsidRPr="00EB486E" w:rsidRDefault="00EB486E" w:rsidP="00EB486E">
      <w:pPr>
        <w:pStyle w:val="NormalWeb"/>
        <w:rPr>
          <w:sz w:val="22"/>
          <w:szCs w:val="22"/>
        </w:rPr>
      </w:pPr>
      <w:r w:rsidRPr="00EB486E">
        <w:rPr>
          <w:sz w:val="22"/>
          <w:szCs w:val="22"/>
        </w:rPr>
        <w:t>(j) Performance tests shall be conducted under such conditions as the Administrator specifies to the owner or operator based on representative performance of the affected source for the period being tested. Representative conditions exclude periods of startup and shutdown unless specified by the Administrator or an applicable subpart. The owner or operator may not conduct performance tests during periods of malfunction. The owner or operator must record the process information that is necessary to document operating conditions during the test and include in such record an explanation to support that such conditions represent normal operation. Upon request, the owner or operator shall make available to the Administrator such records as may be necessary to determine the conditions of performance tests.</w:t>
      </w:r>
    </w:p>
    <w:p w:rsidR="00EB486E" w:rsidRPr="00EB486E" w:rsidRDefault="00EB486E" w:rsidP="00EB486E">
      <w:pPr>
        <w:pStyle w:val="cita"/>
        <w:rPr>
          <w:sz w:val="22"/>
          <w:szCs w:val="22"/>
        </w:rPr>
      </w:pPr>
      <w:r w:rsidRPr="00EB486E">
        <w:rPr>
          <w:sz w:val="22"/>
          <w:szCs w:val="22"/>
        </w:rPr>
        <w:t>[60 FR 45956, Sept. 1, 1996, as amended at 63 FR 15021, Mar. 27, 1998; 80 FR 76184, Dec. 7, 2015; 81 FR 51116, Aug. 3, 2016]</w:t>
      </w:r>
    </w:p>
    <w:p w:rsidR="00EB486E" w:rsidRPr="00EB486E" w:rsidRDefault="00EB486E" w:rsidP="00EB486E">
      <w:pPr>
        <w:pStyle w:val="Heading2"/>
        <w:rPr>
          <w:rFonts w:ascii="Times New Roman" w:hAnsi="Times New Roman" w:cs="Times New Roman"/>
          <w:sz w:val="22"/>
          <w:szCs w:val="22"/>
        </w:rPr>
      </w:pPr>
      <w:bookmarkStart w:id="42" w:name="se40.12.63_1750"/>
      <w:bookmarkEnd w:id="42"/>
      <w:r w:rsidRPr="00EB486E">
        <w:rPr>
          <w:rFonts w:ascii="Times New Roman" w:hAnsi="Times New Roman" w:cs="Times New Roman"/>
          <w:sz w:val="22"/>
          <w:szCs w:val="22"/>
        </w:rPr>
        <w:t>§63.750   Test methods and procedures.</w:t>
      </w:r>
    </w:p>
    <w:p w:rsidR="00EB486E" w:rsidRPr="00EB486E" w:rsidRDefault="00EB486E" w:rsidP="00EB486E">
      <w:pPr>
        <w:pStyle w:val="NormalWeb"/>
        <w:rPr>
          <w:sz w:val="22"/>
          <w:szCs w:val="22"/>
        </w:rPr>
      </w:pPr>
      <w:r w:rsidRPr="00EB486E">
        <w:rPr>
          <w:sz w:val="22"/>
          <w:szCs w:val="22"/>
        </w:rPr>
        <w:t xml:space="preserve">(a) </w:t>
      </w:r>
      <w:r w:rsidRPr="00EB486E">
        <w:rPr>
          <w:i/>
          <w:iCs/>
          <w:sz w:val="22"/>
          <w:szCs w:val="22"/>
        </w:rPr>
        <w:t>Composition determination.</w:t>
      </w:r>
      <w:r w:rsidRPr="00EB486E">
        <w:rPr>
          <w:sz w:val="22"/>
          <w:szCs w:val="22"/>
        </w:rPr>
        <w:t xml:space="preserve"> Compliance with the hand-wipe cleaning solvent approved composition list specified in §63.744(b)(1) for hand-wipe cleaning solvents shall be demonstrated using data supplied by the manufacturer of the cleaning solvent. The data shall identify all components of the cleaning solvent and shall demonstrate that one of the approved composition definitions is met. </w:t>
      </w:r>
    </w:p>
    <w:p w:rsidR="00EB486E" w:rsidRPr="00EB486E" w:rsidRDefault="00EB486E" w:rsidP="00EB486E">
      <w:pPr>
        <w:pStyle w:val="NormalWeb"/>
        <w:rPr>
          <w:sz w:val="22"/>
          <w:szCs w:val="22"/>
        </w:rPr>
      </w:pPr>
      <w:r w:rsidRPr="00EB486E">
        <w:rPr>
          <w:sz w:val="22"/>
          <w:szCs w:val="22"/>
        </w:rPr>
        <w:t xml:space="preserve">(b) </w:t>
      </w:r>
      <w:r w:rsidRPr="00EB486E">
        <w:rPr>
          <w:i/>
          <w:iCs/>
          <w:sz w:val="22"/>
          <w:szCs w:val="22"/>
        </w:rPr>
        <w:t>Vapor pressure determination.</w:t>
      </w:r>
      <w:r w:rsidRPr="00EB486E">
        <w:rPr>
          <w:sz w:val="22"/>
          <w:szCs w:val="22"/>
        </w:rPr>
        <w:t xml:space="preserve"> The composite vapor pressure of hand-wipe cleaning solvents used in a cleaning operation subject to this subpart shall be determined as follows: </w:t>
      </w:r>
    </w:p>
    <w:p w:rsidR="00EB486E" w:rsidRPr="00EB486E" w:rsidRDefault="00EB486E" w:rsidP="00EB486E">
      <w:pPr>
        <w:pStyle w:val="NormalWeb"/>
        <w:rPr>
          <w:sz w:val="22"/>
          <w:szCs w:val="22"/>
        </w:rPr>
      </w:pPr>
      <w:r w:rsidRPr="00EB486E">
        <w:rPr>
          <w:sz w:val="22"/>
          <w:szCs w:val="22"/>
        </w:rPr>
        <w:t xml:space="preserve">(1) For single-component hand-wipe cleaning solvents, the vapor pressure shall be determined using MSDS or other manufacturer's data, standard engineering reference texts, or other equivalent methods. </w:t>
      </w:r>
    </w:p>
    <w:p w:rsidR="00EB486E" w:rsidRPr="00EB486E" w:rsidRDefault="00EB486E" w:rsidP="00EB486E">
      <w:pPr>
        <w:pStyle w:val="NormalWeb"/>
        <w:rPr>
          <w:sz w:val="22"/>
          <w:szCs w:val="22"/>
        </w:rPr>
      </w:pPr>
      <w:r w:rsidRPr="00EB486E">
        <w:rPr>
          <w:sz w:val="22"/>
          <w:szCs w:val="22"/>
        </w:rPr>
        <w:t>(2) The composite vapor pressure of a blended hand-wipe solvent shall be determined by quantifying the amount of each organic compound in the blend using manufacturer's supplied data or a gas chromatographic analysis in accordance with ASTM E 260-91 or 96 (incorporated by reference—see §63.14 of subpart A of this part) and by calculating the composite vapor pressure of the solvent by summing the partial pressures of each component. The vapor pressure of each component shall be determined using manufacturer's data, standard engineering reference texts, or other equivalent methods. The following equation shall be used to determine the composite vapor pressure:</w:t>
      </w:r>
    </w:p>
    <w:p w:rsidR="00EB486E" w:rsidRPr="00EB486E" w:rsidRDefault="00EB486E" w:rsidP="00EB486E">
      <w:pPr>
        <w:rPr>
          <w:szCs w:val="22"/>
        </w:rPr>
      </w:pPr>
      <w:r w:rsidRPr="00EB486E">
        <w:rPr>
          <w:noProof/>
          <w:szCs w:val="22"/>
        </w:rPr>
        <w:lastRenderedPageBreak/>
        <w:drawing>
          <wp:inline distT="0" distB="0" distL="0" distR="0">
            <wp:extent cx="2258060" cy="659765"/>
            <wp:effectExtent l="0" t="0" r="8890" b="6985"/>
            <wp:docPr id="49" name="Picture 49" descr="eCFR graphic er01se9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eCFR graphic er01se98.000.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58060" cy="659765"/>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 xml:space="preserve">where: </w:t>
      </w:r>
    </w:p>
    <w:p w:rsidR="00EB486E" w:rsidRPr="00EB486E" w:rsidRDefault="00EB486E" w:rsidP="00EB486E">
      <w:pPr>
        <w:pStyle w:val="fp-2"/>
        <w:rPr>
          <w:sz w:val="22"/>
          <w:szCs w:val="22"/>
        </w:rPr>
      </w:pPr>
      <w:r w:rsidRPr="00EB486E">
        <w:rPr>
          <w:sz w:val="22"/>
          <w:szCs w:val="22"/>
        </w:rPr>
        <w:t>W</w:t>
      </w:r>
      <w:r w:rsidRPr="00EB486E">
        <w:rPr>
          <w:sz w:val="22"/>
          <w:szCs w:val="22"/>
          <w:vertAlign w:val="subscript"/>
        </w:rPr>
        <w:t>i</w:t>
      </w:r>
      <w:r w:rsidRPr="00EB486E">
        <w:rPr>
          <w:sz w:val="22"/>
          <w:szCs w:val="22"/>
        </w:rPr>
        <w:t xml:space="preserve"> = Weight of the “i”th VOC compound, grams.</w:t>
      </w:r>
    </w:p>
    <w:p w:rsidR="00EB486E" w:rsidRPr="00EB486E" w:rsidRDefault="00EB486E" w:rsidP="00EB486E">
      <w:pPr>
        <w:pStyle w:val="fp-2"/>
        <w:rPr>
          <w:sz w:val="22"/>
          <w:szCs w:val="22"/>
        </w:rPr>
      </w:pPr>
      <w:r w:rsidRPr="00EB486E">
        <w:rPr>
          <w:sz w:val="22"/>
          <w:szCs w:val="22"/>
        </w:rPr>
        <w:t>W</w:t>
      </w:r>
      <w:r w:rsidRPr="00EB486E">
        <w:rPr>
          <w:sz w:val="22"/>
          <w:szCs w:val="22"/>
          <w:vertAlign w:val="subscript"/>
        </w:rPr>
        <w:t>w</w:t>
      </w:r>
      <w:r w:rsidRPr="00EB486E">
        <w:rPr>
          <w:sz w:val="22"/>
          <w:szCs w:val="22"/>
        </w:rPr>
        <w:t xml:space="preserve"> = Weight of water, grams. </w:t>
      </w:r>
    </w:p>
    <w:p w:rsidR="00EB486E" w:rsidRPr="00EB486E" w:rsidRDefault="00EB486E" w:rsidP="00EB486E">
      <w:pPr>
        <w:pStyle w:val="fp-2"/>
        <w:rPr>
          <w:sz w:val="22"/>
          <w:szCs w:val="22"/>
        </w:rPr>
      </w:pPr>
      <w:r w:rsidRPr="00EB486E">
        <w:rPr>
          <w:sz w:val="22"/>
          <w:szCs w:val="22"/>
        </w:rPr>
        <w:t>W</w:t>
      </w:r>
      <w:r w:rsidRPr="00EB486E">
        <w:rPr>
          <w:sz w:val="22"/>
          <w:szCs w:val="22"/>
          <w:vertAlign w:val="subscript"/>
        </w:rPr>
        <w:t>e</w:t>
      </w:r>
      <w:r w:rsidRPr="00EB486E">
        <w:rPr>
          <w:sz w:val="22"/>
          <w:szCs w:val="22"/>
        </w:rPr>
        <w:t xml:space="preserve"> = Weight of non-HAP, nonVOC compound, grams. </w:t>
      </w:r>
    </w:p>
    <w:p w:rsidR="00EB486E" w:rsidRPr="00EB486E" w:rsidRDefault="00EB486E" w:rsidP="00EB486E">
      <w:pPr>
        <w:pStyle w:val="fp-2"/>
        <w:rPr>
          <w:sz w:val="22"/>
          <w:szCs w:val="22"/>
        </w:rPr>
      </w:pPr>
      <w:r w:rsidRPr="00EB486E">
        <w:rPr>
          <w:sz w:val="22"/>
          <w:szCs w:val="22"/>
        </w:rPr>
        <w:t>MW</w:t>
      </w:r>
      <w:r w:rsidRPr="00EB486E">
        <w:rPr>
          <w:sz w:val="22"/>
          <w:szCs w:val="22"/>
          <w:vertAlign w:val="subscript"/>
        </w:rPr>
        <w:t>i</w:t>
      </w:r>
      <w:r w:rsidRPr="00EB486E">
        <w:rPr>
          <w:sz w:val="22"/>
          <w:szCs w:val="22"/>
        </w:rPr>
        <w:t xml:space="preserve"> = Molecular weight of the “i”th VOC compound, g/g-mole. </w:t>
      </w:r>
    </w:p>
    <w:p w:rsidR="00EB486E" w:rsidRPr="00EB486E" w:rsidRDefault="00EB486E" w:rsidP="00EB486E">
      <w:pPr>
        <w:pStyle w:val="fp-2"/>
        <w:rPr>
          <w:sz w:val="22"/>
          <w:szCs w:val="22"/>
        </w:rPr>
      </w:pPr>
      <w:r w:rsidRPr="00EB486E">
        <w:rPr>
          <w:sz w:val="22"/>
          <w:szCs w:val="22"/>
        </w:rPr>
        <w:t>MW</w:t>
      </w:r>
      <w:r w:rsidRPr="00EB486E">
        <w:rPr>
          <w:sz w:val="22"/>
          <w:szCs w:val="22"/>
          <w:vertAlign w:val="subscript"/>
        </w:rPr>
        <w:t>w</w:t>
      </w:r>
      <w:r w:rsidRPr="00EB486E">
        <w:rPr>
          <w:sz w:val="22"/>
          <w:szCs w:val="22"/>
        </w:rPr>
        <w:t xml:space="preserve"> = Molecular weight of water, g/g-mole. </w:t>
      </w:r>
    </w:p>
    <w:p w:rsidR="00EB486E" w:rsidRPr="00EB486E" w:rsidRDefault="00EB486E" w:rsidP="00EB486E">
      <w:pPr>
        <w:pStyle w:val="fp-2"/>
        <w:rPr>
          <w:sz w:val="22"/>
          <w:szCs w:val="22"/>
        </w:rPr>
      </w:pPr>
      <w:r w:rsidRPr="00EB486E">
        <w:rPr>
          <w:sz w:val="22"/>
          <w:szCs w:val="22"/>
        </w:rPr>
        <w:t>MW</w:t>
      </w:r>
      <w:r w:rsidRPr="00EB486E">
        <w:rPr>
          <w:sz w:val="22"/>
          <w:szCs w:val="22"/>
          <w:vertAlign w:val="subscript"/>
        </w:rPr>
        <w:t>e</w:t>
      </w:r>
      <w:r w:rsidRPr="00EB486E">
        <w:rPr>
          <w:sz w:val="22"/>
          <w:szCs w:val="22"/>
        </w:rPr>
        <w:t xml:space="preserve"> = Molecular weight of exempt compound, g/g-mole. </w:t>
      </w:r>
    </w:p>
    <w:p w:rsidR="00EB486E" w:rsidRPr="00EB486E" w:rsidRDefault="00EB486E" w:rsidP="00EB486E">
      <w:pPr>
        <w:pStyle w:val="fp-2"/>
        <w:rPr>
          <w:sz w:val="22"/>
          <w:szCs w:val="22"/>
        </w:rPr>
      </w:pPr>
      <w:r w:rsidRPr="00EB486E">
        <w:rPr>
          <w:sz w:val="22"/>
          <w:szCs w:val="22"/>
        </w:rPr>
        <w:t>PP</w:t>
      </w:r>
      <w:r w:rsidRPr="00EB486E">
        <w:rPr>
          <w:sz w:val="22"/>
          <w:szCs w:val="22"/>
          <w:vertAlign w:val="subscript"/>
        </w:rPr>
        <w:t>c</w:t>
      </w:r>
      <w:r w:rsidRPr="00EB486E">
        <w:rPr>
          <w:sz w:val="22"/>
          <w:szCs w:val="22"/>
        </w:rPr>
        <w:t xml:space="preserve"> = VOC composite partial pressure at 20 °C, mm Hg. </w:t>
      </w:r>
    </w:p>
    <w:p w:rsidR="00EB486E" w:rsidRPr="00EB486E" w:rsidRDefault="00EB486E" w:rsidP="00EB486E">
      <w:pPr>
        <w:pStyle w:val="fp-2"/>
        <w:rPr>
          <w:sz w:val="22"/>
          <w:szCs w:val="22"/>
        </w:rPr>
      </w:pPr>
      <w:r w:rsidRPr="00EB486E">
        <w:rPr>
          <w:sz w:val="22"/>
          <w:szCs w:val="22"/>
        </w:rPr>
        <w:t>VP</w:t>
      </w:r>
      <w:r w:rsidRPr="00EB486E">
        <w:rPr>
          <w:sz w:val="22"/>
          <w:szCs w:val="22"/>
          <w:vertAlign w:val="subscript"/>
        </w:rPr>
        <w:t>i</w:t>
      </w:r>
      <w:r w:rsidRPr="00EB486E">
        <w:rPr>
          <w:sz w:val="22"/>
          <w:szCs w:val="22"/>
        </w:rPr>
        <w:t xml:space="preserve"> = Vapor pressure of the “i”th VOC compound at 20 °C, mm Hg.</w:t>
      </w:r>
    </w:p>
    <w:p w:rsidR="00EB486E" w:rsidRPr="00EB486E" w:rsidRDefault="00EB486E" w:rsidP="00EB486E">
      <w:pPr>
        <w:pStyle w:val="NormalWeb"/>
        <w:rPr>
          <w:sz w:val="22"/>
          <w:szCs w:val="22"/>
        </w:rPr>
      </w:pPr>
      <w:r w:rsidRPr="00EB486E">
        <w:rPr>
          <w:sz w:val="22"/>
          <w:szCs w:val="22"/>
        </w:rPr>
        <w:t xml:space="preserve">(c) </w:t>
      </w:r>
      <w:r w:rsidRPr="00EB486E">
        <w:rPr>
          <w:i/>
          <w:iCs/>
          <w:sz w:val="22"/>
          <w:szCs w:val="22"/>
        </w:rPr>
        <w:t>Organic HAP content level determination—compliant primers, topcoats, and specialty coatings.</w:t>
      </w:r>
      <w:r w:rsidRPr="00EB486E">
        <w:rPr>
          <w:sz w:val="22"/>
          <w:szCs w:val="22"/>
        </w:rPr>
        <w:t xml:space="preserve"> For those uncontrolled primers, topcoats, and specialty coatings complying with the primer, topcoat, or specialty coating organic HAP content limits specified in §63.745(c) without being averaged, the procedures in paragraphs (c)(1) through (3) of this section shall be used to determine the mass of organic HAP emitted per volume of coating (less water) as applied. As an alternative to the procedures in paragraphs (c)(1) through (3) of this section, an owner or operator may use the coating manufacturer's supplied data to demonstrate that organic HAP emitted per volume of coating (less water), as applied, is less than or equal to the applicable organic HAP limit specified in §63.745(c). Owners and operators that use the coating manufacturer's supplied data to demonstrate compliance based on the HAP content of the coating may add non-HAP solvent to those coatings provided that the owner or operator also maintains records of the non-HAP solvent added to the coating.</w:t>
      </w:r>
    </w:p>
    <w:p w:rsidR="00EB486E" w:rsidRPr="00EB486E" w:rsidRDefault="00EB486E" w:rsidP="00EB486E">
      <w:pPr>
        <w:pStyle w:val="NormalWeb"/>
        <w:rPr>
          <w:sz w:val="22"/>
          <w:szCs w:val="22"/>
        </w:rPr>
      </w:pPr>
      <w:r w:rsidRPr="00EB486E">
        <w:rPr>
          <w:sz w:val="22"/>
          <w:szCs w:val="22"/>
        </w:rPr>
        <w:t>(1) For coatings that contain no exempt solvents, determine the total organic HAP content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w:t>
      </w:r>
    </w:p>
    <w:p w:rsidR="00EB486E" w:rsidRPr="00EB486E" w:rsidRDefault="00EB486E" w:rsidP="00EB486E">
      <w:pPr>
        <w:pStyle w:val="NormalWeb"/>
        <w:rPr>
          <w:sz w:val="22"/>
          <w:szCs w:val="22"/>
        </w:rPr>
      </w:pPr>
      <w:r w:rsidRPr="00EB486E">
        <w:rPr>
          <w:sz w:val="22"/>
          <w:szCs w:val="22"/>
        </w:rPr>
        <w:t xml:space="preserve">When Method 24 is used to determine the VOC content of water-reducible coatings, the precision adjustment factors in Reference Method 24 shall be used. If the adjusted analytical VOC content is less than the formulation solvent content, then the analytical VOC content should be set equal to the formulation solvent content. </w:t>
      </w:r>
    </w:p>
    <w:p w:rsidR="00EB486E" w:rsidRPr="00EB486E" w:rsidRDefault="00EB486E" w:rsidP="00EB486E">
      <w:pPr>
        <w:pStyle w:val="NormalWeb"/>
        <w:rPr>
          <w:sz w:val="22"/>
          <w:szCs w:val="22"/>
        </w:rPr>
      </w:pPr>
      <w:r w:rsidRPr="00EB486E">
        <w:rPr>
          <w:sz w:val="22"/>
          <w:szCs w:val="22"/>
        </w:rPr>
        <w:t xml:space="preserve">(2) For each coating formulation as applied, determine the organic HAP weight fraction, water weight fraction (if applicable), and density from manufacturer's data. If the value for organic HAP weight fraction cannot be determined using the manufacturer's data, the owner or operator shall use Method 311 of 40 CFR part 63, appendix A, or submit an alternative procedure for determining the value for approval by the Administrator. If the values for water weight fraction (if applicable) and density cannot be determined using the manufacturer's data, </w:t>
      </w:r>
      <w:r w:rsidRPr="00EB486E">
        <w:rPr>
          <w:sz w:val="22"/>
          <w:szCs w:val="22"/>
        </w:rPr>
        <w:lastRenderedPageBreak/>
        <w:t>the owner or operator shall submit an alternative procedure for determining their values for approval by the Administrator. Recalculation is required only when a change occurs in the coating formulation. If there is a discrepancy between the manufacturer's formulation data and the results of the Method 311 analysis, compliance shall be based on the results from the Method 311 analysis.</w:t>
      </w:r>
    </w:p>
    <w:p w:rsidR="00EB486E" w:rsidRPr="00EB486E" w:rsidRDefault="00EB486E" w:rsidP="00EB486E">
      <w:pPr>
        <w:pStyle w:val="NormalWeb"/>
        <w:rPr>
          <w:sz w:val="22"/>
          <w:szCs w:val="22"/>
        </w:rPr>
      </w:pPr>
      <w:r w:rsidRPr="00EB486E">
        <w:rPr>
          <w:sz w:val="22"/>
          <w:szCs w:val="22"/>
        </w:rPr>
        <w:t xml:space="preserve">(3) For each coating as applied, calculate the mass of organic HAP emitted per volume of coating (lb/gal) less water as applied using equations 1, 2, and 3: </w:t>
      </w:r>
    </w:p>
    <w:p w:rsidR="00EB486E" w:rsidRPr="00EB486E" w:rsidRDefault="00EB486E" w:rsidP="00EB486E">
      <w:pPr>
        <w:rPr>
          <w:szCs w:val="22"/>
        </w:rPr>
      </w:pPr>
      <w:r w:rsidRPr="00EB486E">
        <w:rPr>
          <w:noProof/>
          <w:szCs w:val="22"/>
        </w:rPr>
        <w:drawing>
          <wp:inline distT="0" distB="0" distL="0" distR="0">
            <wp:extent cx="2369185" cy="429260"/>
            <wp:effectExtent l="0" t="0" r="0" b="8890"/>
            <wp:docPr id="48" name="Picture 48" descr="eCFR graphic er01se95.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eCFR graphic er01se95.004.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69185" cy="429260"/>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 xml:space="preserve">where: </w:t>
      </w:r>
    </w:p>
    <w:p w:rsidR="00EB486E" w:rsidRPr="00EB486E" w:rsidRDefault="00EB486E" w:rsidP="00EB486E">
      <w:pPr>
        <w:pStyle w:val="fp-2"/>
        <w:rPr>
          <w:sz w:val="22"/>
          <w:szCs w:val="22"/>
        </w:rPr>
      </w:pPr>
      <w:r w:rsidRPr="00EB486E">
        <w:rPr>
          <w:sz w:val="22"/>
          <w:szCs w:val="22"/>
        </w:rPr>
        <w:t>V</w:t>
      </w:r>
      <w:r w:rsidRPr="00EB486E">
        <w:rPr>
          <w:sz w:val="22"/>
          <w:szCs w:val="22"/>
          <w:vertAlign w:val="subscript"/>
        </w:rPr>
        <w:t>wi</w:t>
      </w:r>
      <w:r w:rsidRPr="00EB486E">
        <w:rPr>
          <w:sz w:val="22"/>
          <w:szCs w:val="22"/>
        </w:rPr>
        <w:t xml:space="preserve"> = volume (gal) of water in one gal of coating i. </w:t>
      </w:r>
    </w:p>
    <w:p w:rsidR="00EB486E" w:rsidRPr="00EB486E" w:rsidRDefault="00EB486E" w:rsidP="00EB486E">
      <w:pPr>
        <w:pStyle w:val="fp-2"/>
        <w:rPr>
          <w:sz w:val="22"/>
          <w:szCs w:val="22"/>
        </w:rPr>
      </w:pPr>
      <w:r w:rsidRPr="00EB486E">
        <w:rPr>
          <w:sz w:val="22"/>
          <w:szCs w:val="22"/>
        </w:rPr>
        <w:t>D</w:t>
      </w:r>
      <w:r w:rsidRPr="00EB486E">
        <w:rPr>
          <w:sz w:val="22"/>
          <w:szCs w:val="22"/>
          <w:vertAlign w:val="subscript"/>
        </w:rPr>
        <w:t>ci</w:t>
      </w:r>
      <w:r w:rsidRPr="00EB486E">
        <w:rPr>
          <w:sz w:val="22"/>
          <w:szCs w:val="22"/>
        </w:rPr>
        <w:t xml:space="preserve"> = density (lb of coating per gal of coating) of coating i. </w:t>
      </w:r>
    </w:p>
    <w:p w:rsidR="00EB486E" w:rsidRPr="00EB486E" w:rsidRDefault="00EB486E" w:rsidP="00EB486E">
      <w:pPr>
        <w:pStyle w:val="fp-2"/>
        <w:rPr>
          <w:sz w:val="22"/>
          <w:szCs w:val="22"/>
        </w:rPr>
      </w:pPr>
      <w:r w:rsidRPr="00EB486E">
        <w:rPr>
          <w:sz w:val="22"/>
          <w:szCs w:val="22"/>
        </w:rPr>
        <w:t>W</w:t>
      </w:r>
      <w:r w:rsidRPr="00EB486E">
        <w:rPr>
          <w:sz w:val="22"/>
          <w:szCs w:val="22"/>
          <w:vertAlign w:val="subscript"/>
        </w:rPr>
        <w:t>wi</w:t>
      </w:r>
      <w:r w:rsidRPr="00EB486E">
        <w:rPr>
          <w:sz w:val="22"/>
          <w:szCs w:val="22"/>
        </w:rPr>
        <w:t xml:space="preserve"> = weight fraction (expressed as a decimal) of water in coating i. </w:t>
      </w:r>
    </w:p>
    <w:p w:rsidR="00EB486E" w:rsidRPr="00EB486E" w:rsidRDefault="00EB486E" w:rsidP="00EB486E">
      <w:pPr>
        <w:pStyle w:val="fp-2"/>
        <w:rPr>
          <w:sz w:val="22"/>
          <w:szCs w:val="22"/>
        </w:rPr>
      </w:pPr>
      <w:r w:rsidRPr="00EB486E">
        <w:rPr>
          <w:sz w:val="22"/>
          <w:szCs w:val="22"/>
        </w:rPr>
        <w:t>D</w:t>
      </w:r>
      <w:r w:rsidRPr="00EB486E">
        <w:rPr>
          <w:sz w:val="22"/>
          <w:szCs w:val="22"/>
          <w:vertAlign w:val="subscript"/>
        </w:rPr>
        <w:t>w</w:t>
      </w:r>
      <w:r w:rsidRPr="00EB486E">
        <w:rPr>
          <w:sz w:val="22"/>
          <w:szCs w:val="22"/>
        </w:rPr>
        <w:t xml:space="preserve"> = density of water, 8.33 lb/gal.</w:t>
      </w:r>
    </w:p>
    <w:p w:rsidR="00EB486E" w:rsidRPr="00EB486E" w:rsidRDefault="00EB486E" w:rsidP="00EB486E">
      <w:pPr>
        <w:rPr>
          <w:szCs w:val="22"/>
        </w:rPr>
      </w:pPr>
      <w:r w:rsidRPr="00EB486E">
        <w:rPr>
          <w:noProof/>
          <w:szCs w:val="22"/>
        </w:rPr>
        <w:drawing>
          <wp:inline distT="0" distB="0" distL="0" distR="0">
            <wp:extent cx="2409190" cy="230505"/>
            <wp:effectExtent l="0" t="0" r="0" b="0"/>
            <wp:docPr id="47" name="Picture 47" descr="eCFR graphic er01se95.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eCFR graphic er01se95.005.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09190" cy="230505"/>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 xml:space="preserve">where: </w:t>
      </w:r>
    </w:p>
    <w:p w:rsidR="00EB486E" w:rsidRPr="00EB486E" w:rsidRDefault="00EB486E" w:rsidP="00EB486E">
      <w:pPr>
        <w:pStyle w:val="fp-2"/>
        <w:rPr>
          <w:sz w:val="22"/>
          <w:szCs w:val="22"/>
        </w:rPr>
      </w:pPr>
      <w:r w:rsidRPr="00EB486E">
        <w:rPr>
          <w:sz w:val="22"/>
          <w:szCs w:val="22"/>
        </w:rPr>
        <w:t>M</w:t>
      </w:r>
      <w:r w:rsidRPr="00EB486E">
        <w:rPr>
          <w:sz w:val="22"/>
          <w:szCs w:val="22"/>
          <w:vertAlign w:val="subscript"/>
        </w:rPr>
        <w:t>Hi</w:t>
      </w:r>
      <w:r w:rsidRPr="00EB486E">
        <w:rPr>
          <w:sz w:val="22"/>
          <w:szCs w:val="22"/>
        </w:rPr>
        <w:t xml:space="preserve"> = mass (lb) of organic HAP in one gal of coating i. </w:t>
      </w:r>
    </w:p>
    <w:p w:rsidR="00EB486E" w:rsidRPr="00EB486E" w:rsidRDefault="00EB486E" w:rsidP="00EB486E">
      <w:pPr>
        <w:pStyle w:val="fp-2"/>
        <w:rPr>
          <w:sz w:val="22"/>
          <w:szCs w:val="22"/>
        </w:rPr>
      </w:pPr>
      <w:r w:rsidRPr="00EB486E">
        <w:rPr>
          <w:sz w:val="22"/>
          <w:szCs w:val="22"/>
        </w:rPr>
        <w:t>D</w:t>
      </w:r>
      <w:r w:rsidRPr="00EB486E">
        <w:rPr>
          <w:sz w:val="22"/>
          <w:szCs w:val="22"/>
          <w:vertAlign w:val="subscript"/>
        </w:rPr>
        <w:t>ci</w:t>
      </w:r>
      <w:r w:rsidRPr="00EB486E">
        <w:rPr>
          <w:sz w:val="22"/>
          <w:szCs w:val="22"/>
        </w:rPr>
        <w:t xml:space="preserve"> = density (lb of coating per gal of coating) of coating i. </w:t>
      </w:r>
    </w:p>
    <w:p w:rsidR="00EB486E" w:rsidRPr="00EB486E" w:rsidRDefault="00EB486E" w:rsidP="00EB486E">
      <w:pPr>
        <w:pStyle w:val="fp-2"/>
        <w:rPr>
          <w:sz w:val="22"/>
          <w:szCs w:val="22"/>
        </w:rPr>
      </w:pPr>
      <w:r w:rsidRPr="00EB486E">
        <w:rPr>
          <w:sz w:val="22"/>
          <w:szCs w:val="22"/>
        </w:rPr>
        <w:t>W</w:t>
      </w:r>
      <w:r w:rsidRPr="00EB486E">
        <w:rPr>
          <w:sz w:val="22"/>
          <w:szCs w:val="22"/>
          <w:vertAlign w:val="subscript"/>
        </w:rPr>
        <w:t>Hi</w:t>
      </w:r>
      <w:r w:rsidRPr="00EB486E">
        <w:rPr>
          <w:sz w:val="22"/>
          <w:szCs w:val="22"/>
        </w:rPr>
        <w:t xml:space="preserve"> = weight fraction (expressed as a decimal) of organic HAP in coating i.</w:t>
      </w:r>
    </w:p>
    <w:p w:rsidR="00EB486E" w:rsidRPr="00EB486E" w:rsidRDefault="00EB486E" w:rsidP="00EB486E">
      <w:pPr>
        <w:rPr>
          <w:szCs w:val="22"/>
        </w:rPr>
      </w:pPr>
      <w:r w:rsidRPr="00EB486E">
        <w:rPr>
          <w:noProof/>
          <w:szCs w:val="22"/>
        </w:rPr>
        <w:drawing>
          <wp:inline distT="0" distB="0" distL="0" distR="0">
            <wp:extent cx="2440940" cy="429260"/>
            <wp:effectExtent l="0" t="0" r="0" b="8890"/>
            <wp:docPr id="46" name="Picture 46" descr="eCFR graphic er01se95.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eCFR graphic er01se95.006.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40940" cy="429260"/>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 xml:space="preserve">where: </w:t>
      </w:r>
    </w:p>
    <w:p w:rsidR="00EB486E" w:rsidRPr="00EB486E" w:rsidRDefault="00EB486E" w:rsidP="00EB486E">
      <w:pPr>
        <w:pStyle w:val="fp-2"/>
        <w:rPr>
          <w:sz w:val="22"/>
          <w:szCs w:val="22"/>
        </w:rPr>
      </w:pPr>
      <w:r w:rsidRPr="00EB486E">
        <w:rPr>
          <w:sz w:val="22"/>
          <w:szCs w:val="22"/>
        </w:rPr>
        <w:t>H</w:t>
      </w:r>
      <w:r w:rsidRPr="00EB486E">
        <w:rPr>
          <w:sz w:val="22"/>
          <w:szCs w:val="22"/>
          <w:vertAlign w:val="subscript"/>
        </w:rPr>
        <w:t>i</w:t>
      </w:r>
      <w:r w:rsidRPr="00EB486E">
        <w:rPr>
          <w:sz w:val="22"/>
          <w:szCs w:val="22"/>
        </w:rPr>
        <w:t xml:space="preserve"> = mass of organic HAP emitted per volume of coating i (lb/gal) less water as applied. </w:t>
      </w:r>
    </w:p>
    <w:p w:rsidR="00EB486E" w:rsidRPr="00EB486E" w:rsidRDefault="00EB486E" w:rsidP="00EB486E">
      <w:pPr>
        <w:pStyle w:val="fp-2"/>
        <w:rPr>
          <w:sz w:val="22"/>
          <w:szCs w:val="22"/>
        </w:rPr>
      </w:pPr>
      <w:r w:rsidRPr="00EB486E">
        <w:rPr>
          <w:sz w:val="22"/>
          <w:szCs w:val="22"/>
        </w:rPr>
        <w:t>M</w:t>
      </w:r>
      <w:r w:rsidRPr="00EB486E">
        <w:rPr>
          <w:sz w:val="22"/>
          <w:szCs w:val="22"/>
          <w:vertAlign w:val="subscript"/>
        </w:rPr>
        <w:t>Hi</w:t>
      </w:r>
      <w:r w:rsidRPr="00EB486E">
        <w:rPr>
          <w:sz w:val="22"/>
          <w:szCs w:val="22"/>
        </w:rPr>
        <w:t xml:space="preserve"> = mass (lb) of organic HAP in one gal of coating i. </w:t>
      </w:r>
    </w:p>
    <w:p w:rsidR="00EB486E" w:rsidRPr="00EB486E" w:rsidRDefault="00EB486E" w:rsidP="00EB486E">
      <w:pPr>
        <w:pStyle w:val="fp-2"/>
        <w:rPr>
          <w:sz w:val="22"/>
          <w:szCs w:val="22"/>
        </w:rPr>
      </w:pPr>
      <w:r w:rsidRPr="00EB486E">
        <w:rPr>
          <w:sz w:val="22"/>
          <w:szCs w:val="22"/>
        </w:rPr>
        <w:t>V</w:t>
      </w:r>
      <w:r w:rsidRPr="00EB486E">
        <w:rPr>
          <w:sz w:val="22"/>
          <w:szCs w:val="22"/>
          <w:vertAlign w:val="subscript"/>
        </w:rPr>
        <w:t>wi</w:t>
      </w:r>
      <w:r w:rsidRPr="00EB486E">
        <w:rPr>
          <w:sz w:val="22"/>
          <w:szCs w:val="22"/>
        </w:rPr>
        <w:t xml:space="preserve"> = volume (gal) of water in one gal of coating i.</w:t>
      </w:r>
    </w:p>
    <w:p w:rsidR="00EB486E" w:rsidRPr="00EB486E" w:rsidRDefault="00EB486E" w:rsidP="00EB486E">
      <w:pPr>
        <w:pStyle w:val="NormalWeb"/>
        <w:rPr>
          <w:sz w:val="22"/>
          <w:szCs w:val="22"/>
        </w:rPr>
      </w:pPr>
      <w:r w:rsidRPr="00EB486E">
        <w:rPr>
          <w:sz w:val="22"/>
          <w:szCs w:val="22"/>
        </w:rPr>
        <w:t xml:space="preserve">(d) </w:t>
      </w:r>
      <w:r w:rsidRPr="00EB486E">
        <w:rPr>
          <w:i/>
          <w:iCs/>
          <w:sz w:val="22"/>
          <w:szCs w:val="22"/>
        </w:rPr>
        <w:t>Organic HAP content level determination—averaged primers, topcoats, and specialty coatings.</w:t>
      </w:r>
      <w:r w:rsidRPr="00EB486E">
        <w:rPr>
          <w:sz w:val="22"/>
          <w:szCs w:val="22"/>
        </w:rPr>
        <w:t xml:space="preserve"> For those uncontrolled primers, topcoats, and specialty coatings that are averaged together </w:t>
      </w:r>
      <w:proofErr w:type="gramStart"/>
      <w:r w:rsidRPr="00EB486E">
        <w:rPr>
          <w:sz w:val="22"/>
          <w:szCs w:val="22"/>
        </w:rPr>
        <w:t>in order to</w:t>
      </w:r>
      <w:proofErr w:type="gramEnd"/>
      <w:r w:rsidRPr="00EB486E">
        <w:rPr>
          <w:sz w:val="22"/>
          <w:szCs w:val="22"/>
        </w:rPr>
        <w:t xml:space="preserve"> comply with the primer, topcoat, and specialty coating organic HAP content limits specified in §63.745(c), the following procedure shall be used to determine the monthly volume-weighted average mass of organic HAP emitted per volume of coating (less water) as applied, unless the permitting agency specifies a shorter averaging period as part of an ambient ozone control program.</w:t>
      </w:r>
    </w:p>
    <w:p w:rsidR="00EB486E" w:rsidRPr="00EB486E" w:rsidRDefault="00EB486E" w:rsidP="00EB486E">
      <w:pPr>
        <w:pStyle w:val="NormalWeb"/>
        <w:rPr>
          <w:sz w:val="22"/>
          <w:szCs w:val="22"/>
        </w:rPr>
      </w:pPr>
      <w:r w:rsidRPr="00EB486E">
        <w:rPr>
          <w:sz w:val="22"/>
          <w:szCs w:val="22"/>
        </w:rPr>
        <w:lastRenderedPageBreak/>
        <w:t xml:space="preserve">(1)(i) Determine the total organic HAP weight fraction as applied of each coating. If any ingredients, including diluent solvent, are added to a coating prior to its application, the organic HAP weight fraction of the coating shall be determined at a time and location in the process after all ingredients have been added. </w:t>
      </w:r>
    </w:p>
    <w:p w:rsidR="00EB486E" w:rsidRPr="00EB486E" w:rsidRDefault="00EB486E" w:rsidP="00EB486E">
      <w:pPr>
        <w:pStyle w:val="NormalWeb"/>
        <w:rPr>
          <w:sz w:val="22"/>
          <w:szCs w:val="22"/>
        </w:rPr>
      </w:pPr>
      <w:r w:rsidRPr="00EB486E">
        <w:rPr>
          <w:sz w:val="22"/>
          <w:szCs w:val="22"/>
        </w:rPr>
        <w:t xml:space="preserve">(ii) Determine the total organic HAP weight fraction of each coating as applied each month. </w:t>
      </w:r>
    </w:p>
    <w:p w:rsidR="00EB486E" w:rsidRPr="00EB486E" w:rsidRDefault="00EB486E" w:rsidP="00EB486E">
      <w:pPr>
        <w:pStyle w:val="NormalWeb"/>
        <w:rPr>
          <w:sz w:val="22"/>
          <w:szCs w:val="22"/>
        </w:rPr>
      </w:pPr>
      <w:r w:rsidRPr="00EB486E">
        <w:rPr>
          <w:sz w:val="22"/>
          <w:szCs w:val="22"/>
        </w:rPr>
        <w:t xml:space="preserve">(A) If no changes have been made to a coating, either as supplied or as applied, or if a change has been made that has a minimal effect on the organic HAP content of the coating, the value previously determined may continue to be used until a change in formulation has been made by either the manufacturer or the user. </w:t>
      </w:r>
    </w:p>
    <w:p w:rsidR="00EB486E" w:rsidRPr="00EB486E" w:rsidRDefault="00EB486E" w:rsidP="00EB486E">
      <w:pPr>
        <w:pStyle w:val="NormalWeb"/>
        <w:rPr>
          <w:sz w:val="22"/>
          <w:szCs w:val="22"/>
        </w:rPr>
      </w:pPr>
      <w:r w:rsidRPr="00EB486E">
        <w:rPr>
          <w:sz w:val="22"/>
          <w:szCs w:val="22"/>
        </w:rPr>
        <w:t xml:space="preserve">(B) If a change in formulation or a change in the ingredients added to the coating takes place, including the ratio of coating to diluent solvent, prior to its application, either of which results in a more than minimal effect on the organic HAP content of the coating, the total organic HAP weight fraction of the coating shall be redetermined. </w:t>
      </w:r>
    </w:p>
    <w:p w:rsidR="00EB486E" w:rsidRPr="00EB486E" w:rsidRDefault="00EB486E" w:rsidP="00EB486E">
      <w:pPr>
        <w:pStyle w:val="NormalWeb"/>
        <w:rPr>
          <w:sz w:val="22"/>
          <w:szCs w:val="22"/>
        </w:rPr>
      </w:pPr>
      <w:r w:rsidRPr="00EB486E">
        <w:rPr>
          <w:sz w:val="22"/>
          <w:szCs w:val="22"/>
        </w:rPr>
        <w:t>(iii) Manufacturer's formulation data may be used to determine the total organic HAP content of each coating and any ingredients added to the coating prior to its application. If the total organic HAP content cannot be determined using the manufacturer's data, the owner or operator shall use Method 311 of 40 CFR part 63, appendix A for determining the total organic HAP weight fraction, or shall submit an alternative procedure for determining the total organic HAP weight fraction for approval by the Administrator. If there is a discrepancy between the manufacturer's formulation data and the results of the Method 311 analysis, compliance shall be based on the results from the Method 311 analysis.</w:t>
      </w:r>
    </w:p>
    <w:p w:rsidR="00EB486E" w:rsidRPr="00EB486E" w:rsidRDefault="00EB486E" w:rsidP="00EB486E">
      <w:pPr>
        <w:pStyle w:val="NormalWeb"/>
        <w:rPr>
          <w:sz w:val="22"/>
          <w:szCs w:val="22"/>
        </w:rPr>
      </w:pPr>
      <w:r w:rsidRPr="00EB486E">
        <w:rPr>
          <w:sz w:val="22"/>
          <w:szCs w:val="22"/>
        </w:rPr>
        <w:t xml:space="preserve">(2)(i) Determine the volume both in total gallons as applied and in total gallons (less water) as applied of each coating. If any ingredients, including diluent solvents, are added prior to its application, the volume of each coating shall be determined at a time and location in the process after all ingredients (including any diluent solvent) have been added. </w:t>
      </w:r>
    </w:p>
    <w:p w:rsidR="00EB486E" w:rsidRPr="00EB486E" w:rsidRDefault="00EB486E" w:rsidP="00EB486E">
      <w:pPr>
        <w:pStyle w:val="NormalWeb"/>
        <w:rPr>
          <w:sz w:val="22"/>
          <w:szCs w:val="22"/>
        </w:rPr>
      </w:pPr>
      <w:r w:rsidRPr="00EB486E">
        <w:rPr>
          <w:sz w:val="22"/>
          <w:szCs w:val="22"/>
        </w:rPr>
        <w:t xml:space="preserve">(ii) Determine the volume of each coating (less water) as applied each month, unless the permitting agency specifies a shorter period as part of an ambient ozone control program. </w:t>
      </w:r>
    </w:p>
    <w:p w:rsidR="00EB486E" w:rsidRPr="00EB486E" w:rsidRDefault="00EB486E" w:rsidP="00EB486E">
      <w:pPr>
        <w:pStyle w:val="NormalWeb"/>
        <w:rPr>
          <w:sz w:val="22"/>
          <w:szCs w:val="22"/>
        </w:rPr>
      </w:pPr>
      <w:r w:rsidRPr="00EB486E">
        <w:rPr>
          <w:sz w:val="22"/>
          <w:szCs w:val="22"/>
        </w:rPr>
        <w:t xml:space="preserve">(iii) The volume applied may be determined from company records. </w:t>
      </w:r>
    </w:p>
    <w:p w:rsidR="00EB486E" w:rsidRPr="00EB486E" w:rsidRDefault="00EB486E" w:rsidP="00EB486E">
      <w:pPr>
        <w:pStyle w:val="NormalWeb"/>
        <w:rPr>
          <w:sz w:val="22"/>
          <w:szCs w:val="22"/>
        </w:rPr>
      </w:pPr>
      <w:r w:rsidRPr="00EB486E">
        <w:rPr>
          <w:sz w:val="22"/>
          <w:szCs w:val="22"/>
        </w:rPr>
        <w:t xml:space="preserve">(3)(i) Determine the density of each coating as applied. If any ingredients, including diluent solvent, are added to a coating prior to its application, the density of the coating shall be determined at a time and location in the process after all ingredients have been added. </w:t>
      </w:r>
    </w:p>
    <w:p w:rsidR="00EB486E" w:rsidRPr="00EB486E" w:rsidRDefault="00EB486E" w:rsidP="00EB486E">
      <w:pPr>
        <w:pStyle w:val="NormalWeb"/>
        <w:rPr>
          <w:sz w:val="22"/>
          <w:szCs w:val="22"/>
        </w:rPr>
      </w:pPr>
      <w:r w:rsidRPr="00EB486E">
        <w:rPr>
          <w:sz w:val="22"/>
          <w:szCs w:val="22"/>
        </w:rPr>
        <w:t xml:space="preserve">(ii) Determine the density of each coating as applied each month, unless the permitting agency specifies a shorter period as part of an ambient ozone control program. </w:t>
      </w:r>
    </w:p>
    <w:p w:rsidR="00EB486E" w:rsidRPr="00EB486E" w:rsidRDefault="00EB486E" w:rsidP="00EB486E">
      <w:pPr>
        <w:pStyle w:val="NormalWeb"/>
        <w:rPr>
          <w:sz w:val="22"/>
          <w:szCs w:val="22"/>
        </w:rPr>
      </w:pPr>
      <w:r w:rsidRPr="00EB486E">
        <w:rPr>
          <w:sz w:val="22"/>
          <w:szCs w:val="22"/>
        </w:rPr>
        <w:t xml:space="preserve">(A) If no changes have been made to a coating, either as supplied or as applied, or if a change has been made that has a minimal effect on the density of the coating, then the value previously determined may continue to be used until a change in formulation has been made by either the manufacturer or the user. </w:t>
      </w:r>
    </w:p>
    <w:p w:rsidR="00EB486E" w:rsidRPr="00EB486E" w:rsidRDefault="00EB486E" w:rsidP="00EB486E">
      <w:pPr>
        <w:pStyle w:val="NormalWeb"/>
        <w:rPr>
          <w:sz w:val="22"/>
          <w:szCs w:val="22"/>
        </w:rPr>
      </w:pPr>
      <w:r w:rsidRPr="00EB486E">
        <w:rPr>
          <w:sz w:val="22"/>
          <w:szCs w:val="22"/>
        </w:rPr>
        <w:t xml:space="preserve">(B) If a change in formulation or a change in the ingredients added to the coating takes place, including the ratio of coating to diluent solvent, prior to its application, either of which results in a more than minimal effect on the density of the coating, then the density of the coating shall be redetermined. </w:t>
      </w:r>
    </w:p>
    <w:p w:rsidR="00EB486E" w:rsidRPr="00EB486E" w:rsidRDefault="00EB486E" w:rsidP="00EB486E">
      <w:pPr>
        <w:pStyle w:val="NormalWeb"/>
        <w:rPr>
          <w:sz w:val="22"/>
          <w:szCs w:val="22"/>
        </w:rPr>
      </w:pPr>
      <w:r w:rsidRPr="00EB486E">
        <w:rPr>
          <w:sz w:val="22"/>
          <w:szCs w:val="22"/>
        </w:rPr>
        <w:lastRenderedPageBreak/>
        <w:t xml:space="preserve">(iii) The density may be determined from company records, including manufacturer's data sheets. If the density of the coating cannot be determined using the company's records, including the manufacturer's data, then the owner or operator shall submit an alternative procedure for determining the density for approval by the Administrator. </w:t>
      </w:r>
    </w:p>
    <w:p w:rsidR="00EB486E" w:rsidRPr="00EB486E" w:rsidRDefault="00EB486E" w:rsidP="00EB486E">
      <w:pPr>
        <w:pStyle w:val="NormalWeb"/>
        <w:rPr>
          <w:sz w:val="22"/>
          <w:szCs w:val="22"/>
        </w:rPr>
      </w:pPr>
      <w:r w:rsidRPr="00EB486E">
        <w:rPr>
          <w:sz w:val="22"/>
          <w:szCs w:val="22"/>
        </w:rPr>
        <w:t xml:space="preserve">(4) Calculate the total volume in gallons as applied (less water) by summing the individual volumes of each coating (less water) as applied, which were determined under paragraph (d)(2) of this section. </w:t>
      </w:r>
    </w:p>
    <w:p w:rsidR="00EB486E" w:rsidRPr="00EB486E" w:rsidRDefault="00EB486E" w:rsidP="00EB486E">
      <w:pPr>
        <w:pStyle w:val="NormalWeb"/>
        <w:rPr>
          <w:sz w:val="22"/>
          <w:szCs w:val="22"/>
        </w:rPr>
      </w:pPr>
      <w:r w:rsidRPr="00EB486E">
        <w:rPr>
          <w:sz w:val="22"/>
          <w:szCs w:val="22"/>
        </w:rPr>
        <w:t xml:space="preserve">(5) Calculate the volume-weighted average mass of organic HAP in coatings emitted per unit volume (lb/gal) of coating (less water) as applied during each 30-day period using equation 4: </w:t>
      </w:r>
    </w:p>
    <w:p w:rsidR="00EB486E" w:rsidRPr="00EB486E" w:rsidRDefault="00EB486E" w:rsidP="00EB486E">
      <w:pPr>
        <w:rPr>
          <w:szCs w:val="22"/>
        </w:rPr>
      </w:pPr>
      <w:r w:rsidRPr="00EB486E">
        <w:rPr>
          <w:noProof/>
          <w:szCs w:val="22"/>
        </w:rPr>
        <w:drawing>
          <wp:inline distT="0" distB="0" distL="0" distR="0">
            <wp:extent cx="2361565" cy="643890"/>
            <wp:effectExtent l="0" t="0" r="635" b="3810"/>
            <wp:docPr id="45" name="Picture 45" descr="eCFR graphic er01se95.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eCFR graphic er01se95.007.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61565" cy="643890"/>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 xml:space="preserve">where: </w:t>
      </w:r>
    </w:p>
    <w:p w:rsidR="00EB486E" w:rsidRPr="00EB486E" w:rsidRDefault="00EB486E" w:rsidP="00EB486E">
      <w:pPr>
        <w:pStyle w:val="fp-2"/>
        <w:rPr>
          <w:sz w:val="22"/>
          <w:szCs w:val="22"/>
        </w:rPr>
      </w:pPr>
      <w:r w:rsidRPr="00EB486E">
        <w:rPr>
          <w:sz w:val="22"/>
          <w:szCs w:val="22"/>
        </w:rPr>
        <w:t>H</w:t>
      </w:r>
      <w:r w:rsidRPr="00EB486E">
        <w:rPr>
          <w:sz w:val="22"/>
          <w:szCs w:val="22"/>
          <w:vertAlign w:val="subscript"/>
        </w:rPr>
        <w:t>a</w:t>
      </w:r>
      <w:r w:rsidRPr="00EB486E">
        <w:rPr>
          <w:sz w:val="22"/>
          <w:szCs w:val="22"/>
        </w:rPr>
        <w:t xml:space="preserve"> = volume-weighted average mass of organic HAP emitted per unit volume of coating (lb/gal) (less water) as applied during each 30-day period for those coatings being averaged. </w:t>
      </w:r>
    </w:p>
    <w:p w:rsidR="00EB486E" w:rsidRPr="00EB486E" w:rsidRDefault="00EB486E" w:rsidP="00EB486E">
      <w:pPr>
        <w:pStyle w:val="fp-2"/>
        <w:rPr>
          <w:sz w:val="22"/>
          <w:szCs w:val="22"/>
        </w:rPr>
      </w:pPr>
      <w:r w:rsidRPr="00EB486E">
        <w:rPr>
          <w:sz w:val="22"/>
          <w:szCs w:val="22"/>
        </w:rPr>
        <w:t>n = number of coatings being averaged.</w:t>
      </w:r>
    </w:p>
    <w:p w:rsidR="00EB486E" w:rsidRPr="00EB486E" w:rsidRDefault="00EB486E" w:rsidP="00EB486E">
      <w:pPr>
        <w:pStyle w:val="fp-2"/>
        <w:rPr>
          <w:sz w:val="22"/>
          <w:szCs w:val="22"/>
        </w:rPr>
      </w:pPr>
      <w:r w:rsidRPr="00EB486E">
        <w:rPr>
          <w:sz w:val="22"/>
          <w:szCs w:val="22"/>
        </w:rPr>
        <w:t>W</w:t>
      </w:r>
      <w:r w:rsidRPr="00EB486E">
        <w:rPr>
          <w:sz w:val="22"/>
          <w:szCs w:val="22"/>
          <w:vertAlign w:val="subscript"/>
        </w:rPr>
        <w:t>Hi</w:t>
      </w:r>
      <w:r w:rsidRPr="00EB486E">
        <w:rPr>
          <w:sz w:val="22"/>
          <w:szCs w:val="22"/>
        </w:rPr>
        <w:t xml:space="preserve"> = weight fraction (expressed as a decimal) of organic HAP in coating i as applied that is being averaged during each 30-day period. </w:t>
      </w:r>
    </w:p>
    <w:p w:rsidR="00EB486E" w:rsidRPr="00EB486E" w:rsidRDefault="00EB486E" w:rsidP="00EB486E">
      <w:pPr>
        <w:pStyle w:val="fp-2"/>
        <w:rPr>
          <w:sz w:val="22"/>
          <w:szCs w:val="22"/>
        </w:rPr>
      </w:pPr>
      <w:r w:rsidRPr="00EB486E">
        <w:rPr>
          <w:sz w:val="22"/>
          <w:szCs w:val="22"/>
        </w:rPr>
        <w:t>D</w:t>
      </w:r>
      <w:r w:rsidRPr="00EB486E">
        <w:rPr>
          <w:sz w:val="22"/>
          <w:szCs w:val="22"/>
          <w:vertAlign w:val="subscript"/>
        </w:rPr>
        <w:t>ci</w:t>
      </w:r>
      <w:r w:rsidRPr="00EB486E">
        <w:rPr>
          <w:sz w:val="22"/>
          <w:szCs w:val="22"/>
        </w:rPr>
        <w:t xml:space="preserve"> = density (lb of coating per gal of coating) of coating i as applied that is being averaged during each 30-day period. </w:t>
      </w:r>
    </w:p>
    <w:p w:rsidR="00EB486E" w:rsidRPr="00EB486E" w:rsidRDefault="00EB486E" w:rsidP="00EB486E">
      <w:pPr>
        <w:pStyle w:val="fp-2"/>
        <w:rPr>
          <w:sz w:val="22"/>
          <w:szCs w:val="22"/>
        </w:rPr>
      </w:pPr>
      <w:r w:rsidRPr="00EB486E">
        <w:rPr>
          <w:sz w:val="22"/>
          <w:szCs w:val="22"/>
        </w:rPr>
        <w:t>V</w:t>
      </w:r>
      <w:r w:rsidRPr="00EB486E">
        <w:rPr>
          <w:sz w:val="22"/>
          <w:szCs w:val="22"/>
          <w:vertAlign w:val="subscript"/>
        </w:rPr>
        <w:t>ci</w:t>
      </w:r>
      <w:r w:rsidRPr="00EB486E">
        <w:rPr>
          <w:sz w:val="22"/>
          <w:szCs w:val="22"/>
        </w:rPr>
        <w:t xml:space="preserve"> = volume (gal) of coating i as applied that is being averaged during the 30-day period. </w:t>
      </w:r>
    </w:p>
    <w:p w:rsidR="00EB486E" w:rsidRPr="00EB486E" w:rsidRDefault="00EB486E" w:rsidP="00EB486E">
      <w:pPr>
        <w:pStyle w:val="fp-2"/>
        <w:rPr>
          <w:sz w:val="22"/>
          <w:szCs w:val="22"/>
        </w:rPr>
      </w:pPr>
      <w:r w:rsidRPr="00EB486E">
        <w:rPr>
          <w:sz w:val="22"/>
          <w:szCs w:val="22"/>
        </w:rPr>
        <w:t>C</w:t>
      </w:r>
      <w:r w:rsidRPr="00EB486E">
        <w:rPr>
          <w:sz w:val="22"/>
          <w:szCs w:val="22"/>
          <w:vertAlign w:val="subscript"/>
        </w:rPr>
        <w:t>lw</w:t>
      </w:r>
      <w:r w:rsidRPr="00EB486E">
        <w:rPr>
          <w:sz w:val="22"/>
          <w:szCs w:val="22"/>
        </w:rPr>
        <w:t xml:space="preserve"> = total volume (gal) of all coatings (less water) as applied that are being averaged during each 30-day period.</w:t>
      </w:r>
    </w:p>
    <w:p w:rsidR="00EB486E" w:rsidRPr="00EB486E" w:rsidRDefault="00EB486E" w:rsidP="00EB486E">
      <w:pPr>
        <w:pStyle w:val="NormalWeb"/>
        <w:rPr>
          <w:sz w:val="22"/>
          <w:szCs w:val="22"/>
        </w:rPr>
      </w:pPr>
      <w:r w:rsidRPr="00EB486E">
        <w:rPr>
          <w:sz w:val="22"/>
          <w:szCs w:val="22"/>
        </w:rPr>
        <w:t xml:space="preserve">(e) </w:t>
      </w:r>
      <w:r w:rsidRPr="00EB486E">
        <w:rPr>
          <w:i/>
          <w:iCs/>
          <w:sz w:val="22"/>
          <w:szCs w:val="22"/>
        </w:rPr>
        <w:t>VOC content level determination—compliant primers, topcoats, and specialty coatings.</w:t>
      </w:r>
      <w:r w:rsidRPr="00EB486E">
        <w:rPr>
          <w:sz w:val="22"/>
          <w:szCs w:val="22"/>
        </w:rPr>
        <w:t xml:space="preserve"> For those uncontrolled primers, topcoats, and specialty coatings complying with the primer, topcoat, and specialty coating VOC content levels specified in §63.745(c) without being averaged, the procedures in paragraphs (e)(1) through (3) of this section shall be used to determine the mass of VOC emitted per volume of coating (less water and exempt solvents) as applied. As an alternative to the procedures in paragraphs (e)(1) through (3) of this section, an owner or operator may use coating manufacturer's supplied data to demonstrate that VOC emitted per volume of coating (less water and exempt solvents), as applied, is less than or equal to the applicable VOC limit specified in §63.745(c).</w:t>
      </w:r>
    </w:p>
    <w:p w:rsidR="00EB486E" w:rsidRPr="00EB486E" w:rsidRDefault="00EB486E" w:rsidP="00EB486E">
      <w:pPr>
        <w:pStyle w:val="NormalWeb"/>
        <w:rPr>
          <w:sz w:val="22"/>
          <w:szCs w:val="22"/>
        </w:rPr>
      </w:pPr>
      <w:r w:rsidRPr="00EB486E">
        <w:rPr>
          <w:sz w:val="22"/>
          <w:szCs w:val="22"/>
        </w:rPr>
        <w:t>(1) Determine the VOC content of each formulation (less water and exempt solvents) as applied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w:t>
      </w:r>
    </w:p>
    <w:p w:rsidR="00EB486E" w:rsidRPr="00EB486E" w:rsidRDefault="00EB486E" w:rsidP="00EB486E">
      <w:pPr>
        <w:pStyle w:val="NormalWeb"/>
        <w:rPr>
          <w:sz w:val="22"/>
          <w:szCs w:val="22"/>
        </w:rPr>
      </w:pPr>
      <w:r w:rsidRPr="00EB486E">
        <w:rPr>
          <w:sz w:val="22"/>
          <w:szCs w:val="22"/>
        </w:rPr>
        <w:t xml:space="preserve">When Method 24 is used to determine the VOC content of water-reducible coatings, the precision adjustment factors in Reference Method 24 shall be used. If the adjusted analytical VOC content is less than the </w:t>
      </w:r>
      <w:r w:rsidRPr="00EB486E">
        <w:rPr>
          <w:sz w:val="22"/>
          <w:szCs w:val="22"/>
        </w:rPr>
        <w:lastRenderedPageBreak/>
        <w:t xml:space="preserve">formulation solvent content, then the analytical VOC content should be set equal to the formulation solvent content. </w:t>
      </w:r>
    </w:p>
    <w:p w:rsidR="00EB486E" w:rsidRPr="00EB486E" w:rsidRDefault="00EB486E" w:rsidP="00EB486E">
      <w:pPr>
        <w:pStyle w:val="NormalWeb"/>
        <w:rPr>
          <w:sz w:val="22"/>
          <w:szCs w:val="22"/>
        </w:rPr>
      </w:pPr>
      <w:r w:rsidRPr="00EB486E">
        <w:rPr>
          <w:sz w:val="22"/>
          <w:szCs w:val="22"/>
        </w:rPr>
        <w:t xml:space="preserve">(2) For each coating applied, calculate the mass of VOC emitted per volume of coating (lb/gal) (less water and exempt solvents) as applied using equations 5, 6, and 7: </w:t>
      </w:r>
    </w:p>
    <w:p w:rsidR="00EB486E" w:rsidRPr="00EB486E" w:rsidRDefault="00EB486E" w:rsidP="00EB486E">
      <w:pPr>
        <w:rPr>
          <w:szCs w:val="22"/>
        </w:rPr>
      </w:pPr>
      <w:r w:rsidRPr="00EB486E">
        <w:rPr>
          <w:noProof/>
          <w:szCs w:val="22"/>
        </w:rPr>
        <w:drawing>
          <wp:inline distT="0" distB="0" distL="0" distR="0">
            <wp:extent cx="2305685" cy="429260"/>
            <wp:effectExtent l="0" t="0" r="0" b="8890"/>
            <wp:docPr id="44" name="Picture 44" descr="eCFR graphic er01se95.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eCFR graphic er01se95.008.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05685" cy="429260"/>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 xml:space="preserve">where: </w:t>
      </w:r>
    </w:p>
    <w:p w:rsidR="00EB486E" w:rsidRPr="00EB486E" w:rsidRDefault="00EB486E" w:rsidP="00EB486E">
      <w:pPr>
        <w:pStyle w:val="fp-2"/>
        <w:rPr>
          <w:sz w:val="22"/>
          <w:szCs w:val="22"/>
        </w:rPr>
      </w:pPr>
      <w:r w:rsidRPr="00EB486E">
        <w:rPr>
          <w:sz w:val="22"/>
          <w:szCs w:val="22"/>
        </w:rPr>
        <w:t>V</w:t>
      </w:r>
      <w:r w:rsidRPr="00EB486E">
        <w:rPr>
          <w:sz w:val="22"/>
          <w:szCs w:val="22"/>
          <w:vertAlign w:val="subscript"/>
        </w:rPr>
        <w:t>wi</w:t>
      </w:r>
      <w:r w:rsidRPr="00EB486E">
        <w:rPr>
          <w:sz w:val="22"/>
          <w:szCs w:val="22"/>
        </w:rPr>
        <w:t xml:space="preserve"> = volume (gal) of water in one gal of coating i. </w:t>
      </w:r>
    </w:p>
    <w:p w:rsidR="00EB486E" w:rsidRPr="00EB486E" w:rsidRDefault="00EB486E" w:rsidP="00EB486E">
      <w:pPr>
        <w:pStyle w:val="fp-2"/>
        <w:rPr>
          <w:sz w:val="22"/>
          <w:szCs w:val="22"/>
        </w:rPr>
      </w:pPr>
      <w:r w:rsidRPr="00EB486E">
        <w:rPr>
          <w:sz w:val="22"/>
          <w:szCs w:val="22"/>
        </w:rPr>
        <w:t>D</w:t>
      </w:r>
      <w:r w:rsidRPr="00EB486E">
        <w:rPr>
          <w:sz w:val="22"/>
          <w:szCs w:val="22"/>
          <w:vertAlign w:val="subscript"/>
        </w:rPr>
        <w:t>ci</w:t>
      </w:r>
      <w:r w:rsidRPr="00EB486E">
        <w:rPr>
          <w:sz w:val="22"/>
          <w:szCs w:val="22"/>
        </w:rPr>
        <w:t xml:space="preserve"> = density (lb of coating per gal of coating) of coating i. </w:t>
      </w:r>
    </w:p>
    <w:p w:rsidR="00EB486E" w:rsidRPr="00EB486E" w:rsidRDefault="00EB486E" w:rsidP="00EB486E">
      <w:pPr>
        <w:pStyle w:val="fp-2"/>
        <w:rPr>
          <w:sz w:val="22"/>
          <w:szCs w:val="22"/>
        </w:rPr>
      </w:pPr>
      <w:r w:rsidRPr="00EB486E">
        <w:rPr>
          <w:sz w:val="22"/>
          <w:szCs w:val="22"/>
        </w:rPr>
        <w:t>W</w:t>
      </w:r>
      <w:r w:rsidRPr="00EB486E">
        <w:rPr>
          <w:sz w:val="22"/>
          <w:szCs w:val="22"/>
          <w:vertAlign w:val="subscript"/>
        </w:rPr>
        <w:t>wi</w:t>
      </w:r>
      <w:r w:rsidRPr="00EB486E">
        <w:rPr>
          <w:sz w:val="22"/>
          <w:szCs w:val="22"/>
        </w:rPr>
        <w:t xml:space="preserve"> = weight fraction (expressed as a decimal) of water in coating i. </w:t>
      </w:r>
    </w:p>
    <w:p w:rsidR="00EB486E" w:rsidRPr="00EB486E" w:rsidRDefault="00EB486E" w:rsidP="00EB486E">
      <w:pPr>
        <w:pStyle w:val="fp-2"/>
        <w:rPr>
          <w:sz w:val="22"/>
          <w:szCs w:val="22"/>
        </w:rPr>
      </w:pPr>
      <w:r w:rsidRPr="00EB486E">
        <w:rPr>
          <w:sz w:val="22"/>
          <w:szCs w:val="22"/>
        </w:rPr>
        <w:t>D</w:t>
      </w:r>
      <w:r w:rsidRPr="00EB486E">
        <w:rPr>
          <w:sz w:val="22"/>
          <w:szCs w:val="22"/>
          <w:vertAlign w:val="subscript"/>
        </w:rPr>
        <w:t>w</w:t>
      </w:r>
      <w:r w:rsidRPr="00EB486E">
        <w:rPr>
          <w:sz w:val="22"/>
          <w:szCs w:val="22"/>
        </w:rPr>
        <w:t xml:space="preserve"> = density of water, 8.33 lb/gal.</w:t>
      </w:r>
    </w:p>
    <w:p w:rsidR="00EB486E" w:rsidRPr="00EB486E" w:rsidRDefault="00EB486E" w:rsidP="00EB486E">
      <w:pPr>
        <w:rPr>
          <w:szCs w:val="22"/>
        </w:rPr>
      </w:pPr>
      <w:r w:rsidRPr="00EB486E">
        <w:rPr>
          <w:noProof/>
          <w:szCs w:val="22"/>
        </w:rPr>
        <w:drawing>
          <wp:inline distT="0" distB="0" distL="0" distR="0">
            <wp:extent cx="2337435" cy="230505"/>
            <wp:effectExtent l="0" t="0" r="5715" b="0"/>
            <wp:docPr id="43" name="Picture 43" descr="eCFR graphic er01se95.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eCFR graphic er01se95.009.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7435" cy="230505"/>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 xml:space="preserve">where: </w:t>
      </w:r>
    </w:p>
    <w:p w:rsidR="00EB486E" w:rsidRPr="00EB486E" w:rsidRDefault="00EB486E" w:rsidP="00EB486E">
      <w:pPr>
        <w:pStyle w:val="fp-2"/>
        <w:rPr>
          <w:sz w:val="22"/>
          <w:szCs w:val="22"/>
        </w:rPr>
      </w:pPr>
      <w:r w:rsidRPr="00EB486E">
        <w:rPr>
          <w:sz w:val="22"/>
          <w:szCs w:val="22"/>
        </w:rPr>
        <w:t>M</w:t>
      </w:r>
      <w:r w:rsidRPr="00EB486E">
        <w:rPr>
          <w:sz w:val="22"/>
          <w:szCs w:val="22"/>
          <w:vertAlign w:val="subscript"/>
        </w:rPr>
        <w:t>Vi</w:t>
      </w:r>
      <w:r w:rsidRPr="00EB486E">
        <w:rPr>
          <w:sz w:val="22"/>
          <w:szCs w:val="22"/>
        </w:rPr>
        <w:t xml:space="preserve"> = mass (lb) of VOC in one gal of coating i. </w:t>
      </w:r>
    </w:p>
    <w:p w:rsidR="00EB486E" w:rsidRPr="00EB486E" w:rsidRDefault="00EB486E" w:rsidP="00EB486E">
      <w:pPr>
        <w:pStyle w:val="fp-2"/>
        <w:rPr>
          <w:sz w:val="22"/>
          <w:szCs w:val="22"/>
        </w:rPr>
      </w:pPr>
      <w:r w:rsidRPr="00EB486E">
        <w:rPr>
          <w:sz w:val="22"/>
          <w:szCs w:val="22"/>
        </w:rPr>
        <w:t>D</w:t>
      </w:r>
      <w:r w:rsidRPr="00EB486E">
        <w:rPr>
          <w:sz w:val="22"/>
          <w:szCs w:val="22"/>
          <w:vertAlign w:val="subscript"/>
        </w:rPr>
        <w:t>ci</w:t>
      </w:r>
      <w:r w:rsidRPr="00EB486E">
        <w:rPr>
          <w:sz w:val="22"/>
          <w:szCs w:val="22"/>
        </w:rPr>
        <w:t xml:space="preserve"> = density (lb of coating per gal of coating) of coating i. </w:t>
      </w:r>
    </w:p>
    <w:p w:rsidR="00EB486E" w:rsidRPr="00EB486E" w:rsidRDefault="00EB486E" w:rsidP="00EB486E">
      <w:pPr>
        <w:pStyle w:val="fp-2"/>
        <w:rPr>
          <w:sz w:val="22"/>
          <w:szCs w:val="22"/>
        </w:rPr>
      </w:pPr>
      <w:r w:rsidRPr="00EB486E">
        <w:rPr>
          <w:sz w:val="22"/>
          <w:szCs w:val="22"/>
        </w:rPr>
        <w:t>W</w:t>
      </w:r>
      <w:r w:rsidRPr="00EB486E">
        <w:rPr>
          <w:sz w:val="22"/>
          <w:szCs w:val="22"/>
          <w:vertAlign w:val="subscript"/>
        </w:rPr>
        <w:t>Vi</w:t>
      </w:r>
      <w:r w:rsidRPr="00EB486E">
        <w:rPr>
          <w:sz w:val="22"/>
          <w:szCs w:val="22"/>
        </w:rPr>
        <w:t xml:space="preserve"> = weight fraction (expressed as a decimal) of VOC in coating i.</w:t>
      </w:r>
    </w:p>
    <w:p w:rsidR="00EB486E" w:rsidRPr="00EB486E" w:rsidRDefault="00EB486E" w:rsidP="00EB486E">
      <w:pPr>
        <w:rPr>
          <w:szCs w:val="22"/>
        </w:rPr>
      </w:pPr>
      <w:r w:rsidRPr="00EB486E">
        <w:rPr>
          <w:noProof/>
          <w:szCs w:val="22"/>
        </w:rPr>
        <w:drawing>
          <wp:inline distT="0" distB="0" distL="0" distR="0">
            <wp:extent cx="1900555" cy="437515"/>
            <wp:effectExtent l="0" t="0" r="4445" b="635"/>
            <wp:docPr id="42" name="Picture 42" descr="eCFR graphic er27mr9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eCFR graphic er27mr98.002.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0555" cy="437515"/>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 xml:space="preserve">where: </w:t>
      </w:r>
    </w:p>
    <w:p w:rsidR="00EB486E" w:rsidRPr="00EB486E" w:rsidRDefault="00EB486E" w:rsidP="00EB486E">
      <w:pPr>
        <w:pStyle w:val="fp-2"/>
        <w:rPr>
          <w:sz w:val="22"/>
          <w:szCs w:val="22"/>
        </w:rPr>
      </w:pPr>
      <w:r w:rsidRPr="00EB486E">
        <w:rPr>
          <w:sz w:val="22"/>
          <w:szCs w:val="22"/>
        </w:rPr>
        <w:t>G</w:t>
      </w:r>
      <w:r w:rsidRPr="00EB486E">
        <w:rPr>
          <w:sz w:val="22"/>
          <w:szCs w:val="22"/>
          <w:vertAlign w:val="subscript"/>
        </w:rPr>
        <w:t>i</w:t>
      </w:r>
      <w:r w:rsidRPr="00EB486E">
        <w:rPr>
          <w:sz w:val="22"/>
          <w:szCs w:val="22"/>
        </w:rPr>
        <w:t xml:space="preserve"> = mass of VOC emitted per volume of coating i (lb/gal) (less water and exempt solvents) as applied. </w:t>
      </w:r>
    </w:p>
    <w:p w:rsidR="00EB486E" w:rsidRPr="00EB486E" w:rsidRDefault="00EB486E" w:rsidP="00EB486E">
      <w:pPr>
        <w:pStyle w:val="fp-2"/>
        <w:rPr>
          <w:sz w:val="22"/>
          <w:szCs w:val="22"/>
        </w:rPr>
      </w:pPr>
      <w:r w:rsidRPr="00EB486E">
        <w:rPr>
          <w:sz w:val="22"/>
          <w:szCs w:val="22"/>
        </w:rPr>
        <w:t>M</w:t>
      </w:r>
      <w:r w:rsidRPr="00EB486E">
        <w:rPr>
          <w:sz w:val="22"/>
          <w:szCs w:val="22"/>
          <w:vertAlign w:val="subscript"/>
        </w:rPr>
        <w:t>Vi</w:t>
      </w:r>
      <w:r w:rsidRPr="00EB486E">
        <w:rPr>
          <w:sz w:val="22"/>
          <w:szCs w:val="22"/>
        </w:rPr>
        <w:t xml:space="preserve"> = mass (lb) of VOC in one gal of coating i. </w:t>
      </w:r>
    </w:p>
    <w:p w:rsidR="00EB486E" w:rsidRPr="00EB486E" w:rsidRDefault="00EB486E" w:rsidP="00EB486E">
      <w:pPr>
        <w:pStyle w:val="fp-2"/>
        <w:rPr>
          <w:sz w:val="22"/>
          <w:szCs w:val="22"/>
        </w:rPr>
      </w:pPr>
      <w:r w:rsidRPr="00EB486E">
        <w:rPr>
          <w:sz w:val="22"/>
          <w:szCs w:val="22"/>
        </w:rPr>
        <w:t>V</w:t>
      </w:r>
      <w:r w:rsidRPr="00EB486E">
        <w:rPr>
          <w:sz w:val="22"/>
          <w:szCs w:val="22"/>
          <w:vertAlign w:val="subscript"/>
        </w:rPr>
        <w:t>wi</w:t>
      </w:r>
      <w:r w:rsidRPr="00EB486E">
        <w:rPr>
          <w:sz w:val="22"/>
          <w:szCs w:val="22"/>
        </w:rPr>
        <w:t xml:space="preserve"> = volume (gal) of water in one gal of coating i. </w:t>
      </w:r>
    </w:p>
    <w:p w:rsidR="00EB486E" w:rsidRPr="00EB486E" w:rsidRDefault="00EB486E" w:rsidP="00EB486E">
      <w:pPr>
        <w:pStyle w:val="fp-2"/>
        <w:rPr>
          <w:sz w:val="22"/>
          <w:szCs w:val="22"/>
        </w:rPr>
      </w:pPr>
      <w:r w:rsidRPr="00EB486E">
        <w:rPr>
          <w:sz w:val="22"/>
          <w:szCs w:val="22"/>
        </w:rPr>
        <w:t>V</w:t>
      </w:r>
      <w:r w:rsidRPr="00EB486E">
        <w:rPr>
          <w:sz w:val="22"/>
          <w:szCs w:val="22"/>
          <w:vertAlign w:val="subscript"/>
        </w:rPr>
        <w:t>Xi</w:t>
      </w:r>
      <w:r w:rsidRPr="00EB486E">
        <w:rPr>
          <w:sz w:val="22"/>
          <w:szCs w:val="22"/>
        </w:rPr>
        <w:t xml:space="preserve"> = volume (gal) of exempt solvents in one gal of coating i.</w:t>
      </w:r>
    </w:p>
    <w:p w:rsidR="00EB486E" w:rsidRPr="00EB486E" w:rsidRDefault="00EB486E" w:rsidP="00EB486E">
      <w:pPr>
        <w:pStyle w:val="NormalWeb"/>
        <w:rPr>
          <w:sz w:val="22"/>
          <w:szCs w:val="22"/>
        </w:rPr>
      </w:pPr>
      <w:r w:rsidRPr="00EB486E">
        <w:rPr>
          <w:sz w:val="22"/>
          <w:szCs w:val="22"/>
        </w:rPr>
        <w:t>(3)(i) If the VOC content is found to be different when EPA Method 24 is used during an enforcement inspection from that used by the owner or operator in calculating G</w:t>
      </w:r>
      <w:r w:rsidRPr="00EB486E">
        <w:rPr>
          <w:sz w:val="22"/>
          <w:szCs w:val="22"/>
          <w:vertAlign w:val="subscript"/>
        </w:rPr>
        <w:t>a</w:t>
      </w:r>
      <w:r w:rsidRPr="00EB486E">
        <w:rPr>
          <w:sz w:val="22"/>
          <w:szCs w:val="22"/>
        </w:rPr>
        <w:t xml:space="preserve">, compliance shall be based, except as provided in paragraph (e)(3)(ii) of this section, upon the VOC content obtained using EPA Method 24. </w:t>
      </w:r>
    </w:p>
    <w:p w:rsidR="00EB486E" w:rsidRPr="00EB486E" w:rsidRDefault="00EB486E" w:rsidP="00EB486E">
      <w:pPr>
        <w:pStyle w:val="NormalWeb"/>
        <w:rPr>
          <w:sz w:val="22"/>
          <w:szCs w:val="22"/>
        </w:rPr>
      </w:pPr>
      <w:r w:rsidRPr="00EB486E">
        <w:rPr>
          <w:sz w:val="22"/>
          <w:szCs w:val="22"/>
        </w:rPr>
        <w:t>(ii) If the VOC content of a coating obtained using Method 24 would indicate noncompliance as determined under either §63.749 (d)(3)(i) or (d)(4)(i), an owner or operator may elect to average the coating with other uncontrolled coatings and (re)calculate G</w:t>
      </w:r>
      <w:r w:rsidRPr="00EB486E">
        <w:rPr>
          <w:sz w:val="22"/>
          <w:szCs w:val="22"/>
          <w:vertAlign w:val="subscript"/>
        </w:rPr>
        <w:t>i</w:t>
      </w:r>
      <w:r w:rsidRPr="00EB486E">
        <w:rPr>
          <w:sz w:val="22"/>
          <w:szCs w:val="22"/>
        </w:rPr>
        <w:t xml:space="preserve"> (using the procedure specified in paragraph (f) of this section), provided appropriate and sufficient records were maintained for all coatings included in the average </w:t>
      </w:r>
      <w:r w:rsidRPr="00EB486E">
        <w:rPr>
          <w:sz w:val="22"/>
          <w:szCs w:val="22"/>
        </w:rPr>
        <w:lastRenderedPageBreak/>
        <w:t>(re)calculation. The (re)calculated value of G</w:t>
      </w:r>
      <w:r w:rsidRPr="00EB486E">
        <w:rPr>
          <w:sz w:val="22"/>
          <w:szCs w:val="22"/>
          <w:vertAlign w:val="subscript"/>
        </w:rPr>
        <w:t>i</w:t>
      </w:r>
      <w:r w:rsidRPr="00EB486E">
        <w:rPr>
          <w:sz w:val="22"/>
          <w:szCs w:val="22"/>
        </w:rPr>
        <w:t xml:space="preserve"> (G</w:t>
      </w:r>
      <w:r w:rsidRPr="00EB486E">
        <w:rPr>
          <w:sz w:val="22"/>
          <w:szCs w:val="22"/>
          <w:vertAlign w:val="subscript"/>
        </w:rPr>
        <w:t>a</w:t>
      </w:r>
      <w:r w:rsidRPr="00EB486E">
        <w:rPr>
          <w:sz w:val="22"/>
          <w:szCs w:val="22"/>
        </w:rPr>
        <w:t xml:space="preserve"> in paragraph (f)) for the averaged coatings shall then be used to determine compliance. </w:t>
      </w:r>
    </w:p>
    <w:p w:rsidR="00EB486E" w:rsidRPr="00EB486E" w:rsidRDefault="00EB486E" w:rsidP="00EB486E">
      <w:pPr>
        <w:pStyle w:val="NormalWeb"/>
        <w:rPr>
          <w:sz w:val="22"/>
          <w:szCs w:val="22"/>
        </w:rPr>
      </w:pPr>
      <w:r w:rsidRPr="00EB486E">
        <w:rPr>
          <w:sz w:val="22"/>
          <w:szCs w:val="22"/>
        </w:rPr>
        <w:t xml:space="preserve">(f) </w:t>
      </w:r>
      <w:r w:rsidRPr="00EB486E">
        <w:rPr>
          <w:i/>
          <w:iCs/>
          <w:sz w:val="22"/>
          <w:szCs w:val="22"/>
        </w:rPr>
        <w:t>VOC content level determination—averaged primers, topcoats, and specialty coatings</w:t>
      </w:r>
      <w:r w:rsidRPr="00EB486E">
        <w:rPr>
          <w:sz w:val="22"/>
          <w:szCs w:val="22"/>
        </w:rPr>
        <w:t>. For those uncontrolled primers, topcoats, and specialty coatings that are averaged within their respective coating category in order to comply with the primer, topcoat, and specialty coating VOC content limits specified in §63.745(c)(2), (c)(4), and (c)(6), the following procedure shall be used to determine the monthly volume-weighted average mass of VOC emitted per volume of coating (less water and exempt solvents) as applied, unless the permitting agency specifies a shorter averaging period as part of an ambient ozone control program.</w:t>
      </w:r>
    </w:p>
    <w:p w:rsidR="00EB486E" w:rsidRPr="00EB486E" w:rsidRDefault="00EB486E" w:rsidP="00EB486E">
      <w:pPr>
        <w:pStyle w:val="NormalWeb"/>
        <w:rPr>
          <w:sz w:val="22"/>
          <w:szCs w:val="22"/>
        </w:rPr>
      </w:pPr>
      <w:r w:rsidRPr="00EB486E">
        <w:rPr>
          <w:sz w:val="22"/>
          <w:szCs w:val="22"/>
        </w:rPr>
        <w:t xml:space="preserve">(1)(i) Determine the VOC content (lb/gal) as applied of each coating. If any ingredients, including diluent solvent, are added to a coating prior to its application, the VOC content of the coating shall be determined at a time and location in the process after all ingredients have been added. </w:t>
      </w:r>
    </w:p>
    <w:p w:rsidR="00EB486E" w:rsidRPr="00EB486E" w:rsidRDefault="00EB486E" w:rsidP="00EB486E">
      <w:pPr>
        <w:pStyle w:val="NormalWeb"/>
        <w:rPr>
          <w:sz w:val="22"/>
          <w:szCs w:val="22"/>
        </w:rPr>
      </w:pPr>
      <w:r w:rsidRPr="00EB486E">
        <w:rPr>
          <w:sz w:val="22"/>
          <w:szCs w:val="22"/>
        </w:rPr>
        <w:t xml:space="preserve">(ii) Determine the VOC content of each coating as applied each month, unless the permitting agency specifies a shorter period as part of an ambient ozone control program. </w:t>
      </w:r>
    </w:p>
    <w:p w:rsidR="00EB486E" w:rsidRPr="00EB486E" w:rsidRDefault="00EB486E" w:rsidP="00EB486E">
      <w:pPr>
        <w:pStyle w:val="NormalWeb"/>
        <w:rPr>
          <w:sz w:val="22"/>
          <w:szCs w:val="22"/>
        </w:rPr>
      </w:pPr>
      <w:r w:rsidRPr="00EB486E">
        <w:rPr>
          <w:sz w:val="22"/>
          <w:szCs w:val="22"/>
        </w:rPr>
        <w:t xml:space="preserve">(A) If no changes have been made to a coating, either as supplied or as applied, or if a change has been made that has a minimal effect on the VOC content of the coating, the value previously determined may continue to be used until a change in formulation has been made by either the manufacturer or the user. </w:t>
      </w:r>
    </w:p>
    <w:p w:rsidR="00EB486E" w:rsidRPr="00EB486E" w:rsidRDefault="00EB486E" w:rsidP="00EB486E">
      <w:pPr>
        <w:pStyle w:val="NormalWeb"/>
        <w:rPr>
          <w:sz w:val="22"/>
          <w:szCs w:val="22"/>
        </w:rPr>
      </w:pPr>
      <w:r w:rsidRPr="00EB486E">
        <w:rPr>
          <w:sz w:val="22"/>
          <w:szCs w:val="22"/>
        </w:rPr>
        <w:t xml:space="preserve">(B) If a change in formulation or a change in the ingredients added to the coating takes place, including the ratio of coating to diluent solvent, prior to its application, either of which results in a more than minimal effect on the VOC content of the coating, the VOC content of the coating shall be redetermined. </w:t>
      </w:r>
    </w:p>
    <w:p w:rsidR="00EB486E" w:rsidRPr="00EB486E" w:rsidRDefault="00EB486E" w:rsidP="00EB486E">
      <w:pPr>
        <w:pStyle w:val="NormalWeb"/>
        <w:rPr>
          <w:sz w:val="22"/>
          <w:szCs w:val="22"/>
        </w:rPr>
      </w:pPr>
      <w:r w:rsidRPr="00EB486E">
        <w:rPr>
          <w:sz w:val="22"/>
          <w:szCs w:val="22"/>
        </w:rPr>
        <w:t>(iii) Determine the VOC content of each primer, topcoat, and specialty coating formulation (less water and exempt solvents) as applied using EPA Method 24 or from manufacturer's data.</w:t>
      </w:r>
    </w:p>
    <w:p w:rsidR="00EB486E" w:rsidRPr="00EB486E" w:rsidRDefault="00EB486E" w:rsidP="00EB486E">
      <w:pPr>
        <w:pStyle w:val="NormalWeb"/>
        <w:rPr>
          <w:sz w:val="22"/>
          <w:szCs w:val="22"/>
        </w:rPr>
      </w:pPr>
      <w:r w:rsidRPr="00EB486E">
        <w:rPr>
          <w:sz w:val="22"/>
          <w:szCs w:val="22"/>
        </w:rPr>
        <w:t xml:space="preserve">(2)(i) Determine the volume both in total gallons as applied and in total gallons (less water and exempt solvents) as applied of each coating. If any ingredients, including diluent solvents, are added prior to its application, the volume of each coating shall be determined at a time and location in the process after all ingredients (including any diluent solvent) have been added. </w:t>
      </w:r>
    </w:p>
    <w:p w:rsidR="00EB486E" w:rsidRPr="00EB486E" w:rsidRDefault="00EB486E" w:rsidP="00EB486E">
      <w:pPr>
        <w:pStyle w:val="NormalWeb"/>
        <w:rPr>
          <w:sz w:val="22"/>
          <w:szCs w:val="22"/>
        </w:rPr>
      </w:pPr>
      <w:r w:rsidRPr="00EB486E">
        <w:rPr>
          <w:sz w:val="22"/>
          <w:szCs w:val="22"/>
        </w:rPr>
        <w:t xml:space="preserve">(ii) Determine the volume of each coating (less water and exempt solvents) as applied each day. </w:t>
      </w:r>
    </w:p>
    <w:p w:rsidR="00EB486E" w:rsidRPr="00EB486E" w:rsidRDefault="00EB486E" w:rsidP="00EB486E">
      <w:pPr>
        <w:pStyle w:val="NormalWeb"/>
        <w:rPr>
          <w:sz w:val="22"/>
          <w:szCs w:val="22"/>
        </w:rPr>
      </w:pPr>
      <w:r w:rsidRPr="00EB486E">
        <w:rPr>
          <w:sz w:val="22"/>
          <w:szCs w:val="22"/>
        </w:rPr>
        <w:t xml:space="preserve">(iii) The volume applied may be determined from company records. </w:t>
      </w:r>
    </w:p>
    <w:p w:rsidR="00EB486E" w:rsidRPr="00EB486E" w:rsidRDefault="00EB486E" w:rsidP="00EB486E">
      <w:pPr>
        <w:pStyle w:val="NormalWeb"/>
        <w:rPr>
          <w:sz w:val="22"/>
          <w:szCs w:val="22"/>
        </w:rPr>
      </w:pPr>
      <w:r w:rsidRPr="00EB486E">
        <w:rPr>
          <w:sz w:val="22"/>
          <w:szCs w:val="22"/>
        </w:rPr>
        <w:t xml:space="preserve">(3) Calculate the total volume in gallons (less water and exempt solvents) as applied by summing the individual volumes of each coating (less water and exempt solvents) as applied, which were determined under paragraph (f)(2) of this section. </w:t>
      </w:r>
    </w:p>
    <w:p w:rsidR="00EB486E" w:rsidRPr="00EB486E" w:rsidRDefault="00EB486E" w:rsidP="00EB486E">
      <w:pPr>
        <w:pStyle w:val="NormalWeb"/>
        <w:rPr>
          <w:sz w:val="22"/>
          <w:szCs w:val="22"/>
        </w:rPr>
      </w:pPr>
      <w:r w:rsidRPr="00EB486E">
        <w:rPr>
          <w:sz w:val="22"/>
          <w:szCs w:val="22"/>
        </w:rPr>
        <w:t xml:space="preserve">(4) Calculate the volume-weighted average mass of VOC emitted per unit volume (lb/gal) of coating (less water and exempt solvents) as applied for each coating category during each 30-day period using equation 8: </w:t>
      </w:r>
    </w:p>
    <w:p w:rsidR="00EB486E" w:rsidRPr="00EB486E" w:rsidRDefault="00EB486E" w:rsidP="00EB486E">
      <w:pPr>
        <w:rPr>
          <w:szCs w:val="22"/>
        </w:rPr>
      </w:pPr>
      <w:r w:rsidRPr="00EB486E">
        <w:rPr>
          <w:noProof/>
          <w:szCs w:val="22"/>
        </w:rPr>
        <w:drawing>
          <wp:inline distT="0" distB="0" distL="0" distR="0">
            <wp:extent cx="2417445" cy="643890"/>
            <wp:effectExtent l="0" t="0" r="1905" b="3810"/>
            <wp:docPr id="41" name="Picture 41" descr="eCFR graphic er01se95.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eCFR graphic er01se95.011.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17445" cy="643890"/>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lastRenderedPageBreak/>
        <w:t xml:space="preserve">where: </w:t>
      </w:r>
    </w:p>
    <w:p w:rsidR="00EB486E" w:rsidRPr="00EB486E" w:rsidRDefault="00EB486E" w:rsidP="00EB486E">
      <w:pPr>
        <w:pStyle w:val="fp-2"/>
        <w:rPr>
          <w:sz w:val="22"/>
          <w:szCs w:val="22"/>
        </w:rPr>
      </w:pPr>
      <w:r w:rsidRPr="00EB486E">
        <w:rPr>
          <w:sz w:val="22"/>
          <w:szCs w:val="22"/>
        </w:rPr>
        <w:t>G</w:t>
      </w:r>
      <w:r w:rsidRPr="00EB486E">
        <w:rPr>
          <w:sz w:val="22"/>
          <w:szCs w:val="22"/>
          <w:vertAlign w:val="subscript"/>
        </w:rPr>
        <w:t>a</w:t>
      </w:r>
      <w:r w:rsidRPr="00EB486E">
        <w:rPr>
          <w:sz w:val="22"/>
          <w:szCs w:val="22"/>
        </w:rPr>
        <w:t xml:space="preserve"> = volume weighted average mass of VOC per unit volume of coating (lb/gal) (less water and exempt solvents) as applied during each 30-day period for those coatings being averaged. </w:t>
      </w:r>
    </w:p>
    <w:p w:rsidR="00EB486E" w:rsidRPr="00EB486E" w:rsidRDefault="00EB486E" w:rsidP="00EB486E">
      <w:pPr>
        <w:pStyle w:val="fp-2"/>
        <w:rPr>
          <w:sz w:val="22"/>
          <w:szCs w:val="22"/>
        </w:rPr>
      </w:pPr>
      <w:r w:rsidRPr="00EB486E">
        <w:rPr>
          <w:sz w:val="22"/>
          <w:szCs w:val="22"/>
        </w:rPr>
        <w:t xml:space="preserve">n = number of coatings being averaged. </w:t>
      </w:r>
    </w:p>
    <w:p w:rsidR="00EB486E" w:rsidRPr="00EB486E" w:rsidRDefault="00EB486E" w:rsidP="00EB486E">
      <w:pPr>
        <w:pStyle w:val="fp-2"/>
        <w:rPr>
          <w:sz w:val="22"/>
          <w:szCs w:val="22"/>
        </w:rPr>
      </w:pPr>
      <w:r w:rsidRPr="00EB486E">
        <w:rPr>
          <w:sz w:val="22"/>
          <w:szCs w:val="22"/>
        </w:rPr>
        <w:t>(VOC)</w:t>
      </w:r>
      <w:r w:rsidRPr="00EB486E">
        <w:rPr>
          <w:sz w:val="22"/>
          <w:szCs w:val="22"/>
          <w:vertAlign w:val="subscript"/>
        </w:rPr>
        <w:t>ci</w:t>
      </w:r>
      <w:r w:rsidRPr="00EB486E">
        <w:rPr>
          <w:sz w:val="22"/>
          <w:szCs w:val="22"/>
        </w:rPr>
        <w:t xml:space="preserve"> = VOC content (lb/gal) of coating i (less water and exempt solvents) as applied (as determined using the procedures specified in paragraph (f)(1) of this section) that is being averaged during the 30-day period. </w:t>
      </w:r>
    </w:p>
    <w:p w:rsidR="00EB486E" w:rsidRPr="00EB486E" w:rsidRDefault="00EB486E" w:rsidP="00EB486E">
      <w:pPr>
        <w:pStyle w:val="fp-2"/>
        <w:rPr>
          <w:sz w:val="22"/>
          <w:szCs w:val="22"/>
        </w:rPr>
      </w:pPr>
      <w:r w:rsidRPr="00EB486E">
        <w:rPr>
          <w:sz w:val="22"/>
          <w:szCs w:val="22"/>
        </w:rPr>
        <w:t>V</w:t>
      </w:r>
      <w:r w:rsidRPr="00EB486E">
        <w:rPr>
          <w:sz w:val="22"/>
          <w:szCs w:val="22"/>
          <w:vertAlign w:val="subscript"/>
        </w:rPr>
        <w:t>ci</w:t>
      </w:r>
      <w:r w:rsidRPr="00EB486E">
        <w:rPr>
          <w:sz w:val="22"/>
          <w:szCs w:val="22"/>
        </w:rPr>
        <w:t xml:space="preserve"> = volume (gal) of coating i (less water and exempt solvents) as applied that is being averaged during the 30-day period. </w:t>
      </w:r>
    </w:p>
    <w:p w:rsidR="00EB486E" w:rsidRPr="00EB486E" w:rsidRDefault="00EB486E" w:rsidP="00EB486E">
      <w:pPr>
        <w:pStyle w:val="fp-2"/>
        <w:rPr>
          <w:sz w:val="22"/>
          <w:szCs w:val="22"/>
        </w:rPr>
      </w:pPr>
      <w:r w:rsidRPr="00EB486E">
        <w:rPr>
          <w:sz w:val="22"/>
          <w:szCs w:val="22"/>
        </w:rPr>
        <w:t>C</w:t>
      </w:r>
      <w:r w:rsidRPr="00EB486E">
        <w:rPr>
          <w:sz w:val="22"/>
          <w:szCs w:val="22"/>
          <w:vertAlign w:val="subscript"/>
        </w:rPr>
        <w:t>lwes</w:t>
      </w:r>
      <w:r w:rsidRPr="00EB486E">
        <w:rPr>
          <w:sz w:val="22"/>
          <w:szCs w:val="22"/>
        </w:rPr>
        <w:t xml:space="preserve"> = total volume (gal) of all coatings (less water and exempt solvents) as applied during each 30-day period for those coatings being averaged.</w:t>
      </w:r>
    </w:p>
    <w:p w:rsidR="00EB486E" w:rsidRPr="00EB486E" w:rsidRDefault="00EB486E" w:rsidP="00EB486E">
      <w:pPr>
        <w:pStyle w:val="NormalWeb"/>
        <w:rPr>
          <w:sz w:val="22"/>
          <w:szCs w:val="22"/>
        </w:rPr>
      </w:pPr>
      <w:r w:rsidRPr="00EB486E">
        <w:rPr>
          <w:sz w:val="22"/>
          <w:szCs w:val="22"/>
        </w:rPr>
        <w:t>(5)(i) If the VOC content is found to be different when EPA Method 24 is used during an enforcement inspection from that used by the owner or operator in calculating G</w:t>
      </w:r>
      <w:r w:rsidRPr="00EB486E">
        <w:rPr>
          <w:sz w:val="22"/>
          <w:szCs w:val="22"/>
          <w:vertAlign w:val="subscript"/>
        </w:rPr>
        <w:t>a</w:t>
      </w:r>
      <w:r w:rsidRPr="00EB486E">
        <w:rPr>
          <w:sz w:val="22"/>
          <w:szCs w:val="22"/>
        </w:rPr>
        <w:t>, recalculation of G</w:t>
      </w:r>
      <w:r w:rsidRPr="00EB486E">
        <w:rPr>
          <w:sz w:val="22"/>
          <w:szCs w:val="22"/>
          <w:vertAlign w:val="subscript"/>
        </w:rPr>
        <w:t>a</w:t>
      </w:r>
      <w:r w:rsidRPr="00EB486E">
        <w:rPr>
          <w:sz w:val="22"/>
          <w:szCs w:val="22"/>
        </w:rPr>
        <w:t xml:space="preserve"> is required using the new value. If more than one coating is involved, the recalculation shall be made once using </w:t>
      </w:r>
      <w:proofErr w:type="gramStart"/>
      <w:r w:rsidRPr="00EB486E">
        <w:rPr>
          <w:sz w:val="22"/>
          <w:szCs w:val="22"/>
        </w:rPr>
        <w:t>all of</w:t>
      </w:r>
      <w:proofErr w:type="gramEnd"/>
      <w:r w:rsidRPr="00EB486E">
        <w:rPr>
          <w:sz w:val="22"/>
          <w:szCs w:val="22"/>
        </w:rPr>
        <w:t xml:space="preserve"> the new values. </w:t>
      </w:r>
    </w:p>
    <w:p w:rsidR="00EB486E" w:rsidRPr="00EB486E" w:rsidRDefault="00EB486E" w:rsidP="00EB486E">
      <w:pPr>
        <w:pStyle w:val="NormalWeb"/>
        <w:rPr>
          <w:sz w:val="22"/>
          <w:szCs w:val="22"/>
        </w:rPr>
      </w:pPr>
      <w:r w:rsidRPr="00EB486E">
        <w:rPr>
          <w:sz w:val="22"/>
          <w:szCs w:val="22"/>
        </w:rPr>
        <w:t>(ii) If recalculation is required, an owner or operator may elect to include in the recalculation of G</w:t>
      </w:r>
      <w:r w:rsidRPr="00EB486E">
        <w:rPr>
          <w:sz w:val="22"/>
          <w:szCs w:val="22"/>
          <w:vertAlign w:val="subscript"/>
        </w:rPr>
        <w:t>a</w:t>
      </w:r>
      <w:r w:rsidRPr="00EB486E">
        <w:rPr>
          <w:sz w:val="22"/>
          <w:szCs w:val="22"/>
        </w:rPr>
        <w:t xml:space="preserve"> uncontrolled coatings that were not previously included provided appropriate and sufficient records were maintained for these other coatings to allow daily recalculations. </w:t>
      </w:r>
    </w:p>
    <w:p w:rsidR="00EB486E" w:rsidRPr="00EB486E" w:rsidRDefault="00EB486E" w:rsidP="00EB486E">
      <w:pPr>
        <w:pStyle w:val="NormalWeb"/>
        <w:rPr>
          <w:sz w:val="22"/>
          <w:szCs w:val="22"/>
        </w:rPr>
      </w:pPr>
      <w:r w:rsidRPr="00EB486E">
        <w:rPr>
          <w:sz w:val="22"/>
          <w:szCs w:val="22"/>
        </w:rPr>
        <w:t>(iii) The recalculated value of G</w:t>
      </w:r>
      <w:r w:rsidRPr="00EB486E">
        <w:rPr>
          <w:sz w:val="22"/>
          <w:szCs w:val="22"/>
          <w:vertAlign w:val="subscript"/>
        </w:rPr>
        <w:t>a</w:t>
      </w:r>
      <w:r w:rsidRPr="00EB486E">
        <w:rPr>
          <w:sz w:val="22"/>
          <w:szCs w:val="22"/>
        </w:rPr>
        <w:t xml:space="preserve"> under either paragraph (f)(5)(i) or (f)(5)(ii) of this section shall be used to determine compliance. </w:t>
      </w:r>
    </w:p>
    <w:p w:rsidR="00EB486E" w:rsidRPr="00EB486E" w:rsidRDefault="00EB486E" w:rsidP="00EB486E">
      <w:pPr>
        <w:pStyle w:val="NormalWeb"/>
        <w:rPr>
          <w:sz w:val="22"/>
          <w:szCs w:val="22"/>
        </w:rPr>
      </w:pPr>
      <w:r w:rsidRPr="00EB486E">
        <w:rPr>
          <w:sz w:val="22"/>
          <w:szCs w:val="22"/>
        </w:rPr>
        <w:t xml:space="preserve">(g) </w:t>
      </w:r>
      <w:r w:rsidRPr="00EB486E">
        <w:rPr>
          <w:i/>
          <w:iCs/>
          <w:sz w:val="22"/>
          <w:szCs w:val="22"/>
        </w:rPr>
        <w:t>Overall VOC and/or organic HAP control efficiency—carbon adsorber.</w:t>
      </w:r>
      <w:r w:rsidRPr="00EB486E">
        <w:rPr>
          <w:sz w:val="22"/>
          <w:szCs w:val="22"/>
        </w:rPr>
        <w:t xml:space="preserve"> Each owner or operator subject to the requirements of §63.745(d), §63.746(c), or §63.747(d) shall demonstrate initial compliance with the requirements of this subpart by following the procedures of paragraph (g)(1), (2), (3), (4), or (5) as applicable and paragraphs (6), (7), and (8) of this section. When an initial compliance demonstration is required by this subpart, the procedures in paragraphs (g)(9) through (g</w:t>
      </w:r>
      <w:proofErr w:type="gramStart"/>
      <w:r w:rsidRPr="00EB486E">
        <w:rPr>
          <w:sz w:val="22"/>
          <w:szCs w:val="22"/>
        </w:rPr>
        <w:t>)(</w:t>
      </w:r>
      <w:proofErr w:type="gramEnd"/>
      <w:r w:rsidRPr="00EB486E">
        <w:rPr>
          <w:sz w:val="22"/>
          <w:szCs w:val="22"/>
        </w:rPr>
        <w:t xml:space="preserve">14) of this section shall be used in determining initial compliance with the provisions of this subpart. </w:t>
      </w:r>
    </w:p>
    <w:p w:rsidR="00EB486E" w:rsidRPr="00EB486E" w:rsidRDefault="00EB486E" w:rsidP="00EB486E">
      <w:pPr>
        <w:pStyle w:val="NormalWeb"/>
        <w:rPr>
          <w:sz w:val="22"/>
          <w:szCs w:val="22"/>
        </w:rPr>
      </w:pPr>
      <w:r w:rsidRPr="00EB486E">
        <w:rPr>
          <w:sz w:val="22"/>
          <w:szCs w:val="22"/>
        </w:rPr>
        <w:t xml:space="preserve">(1) To demonstrate initial and continuous compliance with §63.745(d), §63.746(c), or §63.747(d) when emissions are controlled by a dedicated solvent recovery device, each owner or operator of the affected operation may perform a liquid-liquid HAP or VOC material balance over rolling 7- to 30-day periods in lieu of demonstrating compliance through the methods in paragraph (g)(2), (g)(3), or (g)(4) of this section. Results of the material balance calculations performed to demonstrate initial compliance shall be submitted to the Administrator with the notification of compliance status required by §63.9(h) and by §63.753 (c)(1)(iv), (d)(3)(i), and (e)(3). When demonstrating compliance by this procedure, §63.7(e)(3) of subpart A does not apply. The amount of liquid HAP or VOC applied and recovered shall be determined as discussed in paragraph (g)(1)(iii) of this section. The overall HAP or VOC emission reduction (R) is calculated using equation 9: </w:t>
      </w:r>
    </w:p>
    <w:p w:rsidR="00EB486E" w:rsidRPr="00EB486E" w:rsidRDefault="00EB486E" w:rsidP="00EB486E">
      <w:pPr>
        <w:rPr>
          <w:szCs w:val="22"/>
        </w:rPr>
      </w:pPr>
      <w:r w:rsidRPr="00EB486E">
        <w:rPr>
          <w:noProof/>
          <w:szCs w:val="22"/>
        </w:rPr>
        <w:drawing>
          <wp:inline distT="0" distB="0" distL="0" distR="0">
            <wp:extent cx="2401570" cy="620395"/>
            <wp:effectExtent l="0" t="0" r="0" b="8255"/>
            <wp:docPr id="40" name="Picture 40" descr="eCFR graphic er01se95.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eCFR graphic er01se95.012.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01570" cy="620395"/>
                    </a:xfrm>
                    <a:prstGeom prst="rect">
                      <a:avLst/>
                    </a:prstGeom>
                    <a:noFill/>
                    <a:ln>
                      <a:noFill/>
                    </a:ln>
                  </pic:spPr>
                </pic:pic>
              </a:graphicData>
            </a:graphic>
          </wp:inline>
        </w:drawing>
      </w:r>
    </w:p>
    <w:p w:rsidR="00EB486E" w:rsidRPr="00EB486E" w:rsidRDefault="00EB486E" w:rsidP="00EB486E">
      <w:pPr>
        <w:pStyle w:val="NormalWeb"/>
        <w:rPr>
          <w:sz w:val="22"/>
          <w:szCs w:val="22"/>
        </w:rPr>
      </w:pPr>
      <w:r w:rsidRPr="00EB486E">
        <w:rPr>
          <w:sz w:val="22"/>
          <w:szCs w:val="22"/>
        </w:rPr>
        <w:lastRenderedPageBreak/>
        <w:t xml:space="preserve"> (i) The value of RS</w:t>
      </w:r>
      <w:r w:rsidRPr="00EB486E">
        <w:rPr>
          <w:sz w:val="22"/>
          <w:szCs w:val="22"/>
          <w:vertAlign w:val="subscript"/>
        </w:rPr>
        <w:t>i</w:t>
      </w:r>
      <w:r w:rsidRPr="00EB486E">
        <w:rPr>
          <w:sz w:val="22"/>
          <w:szCs w:val="22"/>
        </w:rPr>
        <w:t xml:space="preserve"> is zero unless the owner or operator submits the following information to the Administrator for approval of a measured RS</w:t>
      </w:r>
      <w:r w:rsidRPr="00EB486E">
        <w:rPr>
          <w:sz w:val="22"/>
          <w:szCs w:val="22"/>
          <w:vertAlign w:val="subscript"/>
        </w:rPr>
        <w:t>i</w:t>
      </w:r>
      <w:r w:rsidRPr="00EB486E">
        <w:rPr>
          <w:sz w:val="22"/>
          <w:szCs w:val="22"/>
        </w:rPr>
        <w:t xml:space="preserve"> value that is greater than zero: </w:t>
      </w:r>
    </w:p>
    <w:p w:rsidR="00EB486E" w:rsidRPr="00EB486E" w:rsidRDefault="00EB486E" w:rsidP="00EB486E">
      <w:pPr>
        <w:pStyle w:val="NormalWeb"/>
        <w:rPr>
          <w:sz w:val="22"/>
          <w:szCs w:val="22"/>
        </w:rPr>
      </w:pPr>
      <w:r w:rsidRPr="00EB486E">
        <w:rPr>
          <w:sz w:val="22"/>
          <w:szCs w:val="22"/>
        </w:rPr>
        <w:t xml:space="preserve">(A) Measurement techniques; and </w:t>
      </w:r>
    </w:p>
    <w:p w:rsidR="00EB486E" w:rsidRPr="00EB486E" w:rsidRDefault="00EB486E" w:rsidP="00EB486E">
      <w:pPr>
        <w:pStyle w:val="NormalWeb"/>
        <w:rPr>
          <w:sz w:val="22"/>
          <w:szCs w:val="22"/>
        </w:rPr>
      </w:pPr>
      <w:r w:rsidRPr="00EB486E">
        <w:rPr>
          <w:sz w:val="22"/>
          <w:szCs w:val="22"/>
        </w:rPr>
        <w:t>(B) Documentation that the measured value of RS</w:t>
      </w:r>
      <w:r w:rsidRPr="00EB486E">
        <w:rPr>
          <w:sz w:val="22"/>
          <w:szCs w:val="22"/>
          <w:vertAlign w:val="subscript"/>
        </w:rPr>
        <w:t>i</w:t>
      </w:r>
      <w:r w:rsidRPr="00EB486E">
        <w:rPr>
          <w:sz w:val="22"/>
          <w:szCs w:val="22"/>
        </w:rPr>
        <w:t xml:space="preserve"> exceeds zero. </w:t>
      </w:r>
    </w:p>
    <w:p w:rsidR="00EB486E" w:rsidRPr="00EB486E" w:rsidRDefault="00EB486E" w:rsidP="00EB486E">
      <w:pPr>
        <w:pStyle w:val="NormalWeb"/>
        <w:rPr>
          <w:sz w:val="22"/>
          <w:szCs w:val="22"/>
        </w:rPr>
      </w:pPr>
      <w:r w:rsidRPr="00EB486E">
        <w:rPr>
          <w:sz w:val="22"/>
          <w:szCs w:val="22"/>
        </w:rPr>
        <w:t xml:space="preserve">(ii) The measurement techniques of paragraph (g)(1)(i)(A) of this section shall be submitted to the Administrator for approval with the notification of performance test required under §63.7(b). </w:t>
      </w:r>
    </w:p>
    <w:p w:rsidR="00EB486E" w:rsidRPr="00EB486E" w:rsidRDefault="00EB486E" w:rsidP="00EB486E">
      <w:pPr>
        <w:pStyle w:val="NormalWeb"/>
        <w:rPr>
          <w:sz w:val="22"/>
          <w:szCs w:val="22"/>
        </w:rPr>
      </w:pPr>
      <w:r w:rsidRPr="00EB486E">
        <w:rPr>
          <w:sz w:val="22"/>
          <w:szCs w:val="22"/>
        </w:rPr>
        <w:t xml:space="preserve">(iii) Each owner or operator demonstrating compliance by the test method described in paragraph (g)(1) of this section shall: </w:t>
      </w:r>
    </w:p>
    <w:p w:rsidR="00EB486E" w:rsidRPr="00EB486E" w:rsidRDefault="00EB486E" w:rsidP="00EB486E">
      <w:pPr>
        <w:pStyle w:val="NormalWeb"/>
        <w:rPr>
          <w:sz w:val="22"/>
          <w:szCs w:val="22"/>
        </w:rPr>
      </w:pPr>
      <w:r w:rsidRPr="00EB486E">
        <w:rPr>
          <w:sz w:val="22"/>
          <w:szCs w:val="22"/>
        </w:rPr>
        <w:t xml:space="preserve">(A) Measure the amount of coating or stripper as applied; </w:t>
      </w:r>
    </w:p>
    <w:p w:rsidR="00EB486E" w:rsidRPr="00EB486E" w:rsidRDefault="00EB486E" w:rsidP="00EB486E">
      <w:pPr>
        <w:pStyle w:val="NormalWeb"/>
        <w:rPr>
          <w:sz w:val="22"/>
          <w:szCs w:val="22"/>
        </w:rPr>
      </w:pPr>
      <w:r w:rsidRPr="00EB486E">
        <w:rPr>
          <w:sz w:val="22"/>
          <w:szCs w:val="22"/>
        </w:rPr>
        <w:t xml:space="preserve">(B) Determine the VOC or HAP content of all coating and stripper applied using the test method specified in §63.750(c) (1) through (3) or (e) (1) and (2) of this section; </w:t>
      </w:r>
    </w:p>
    <w:p w:rsidR="00EB486E" w:rsidRPr="00EB486E" w:rsidRDefault="00EB486E" w:rsidP="00EB486E">
      <w:pPr>
        <w:pStyle w:val="NormalWeb"/>
        <w:rPr>
          <w:sz w:val="22"/>
          <w:szCs w:val="22"/>
        </w:rPr>
      </w:pPr>
      <w:r w:rsidRPr="00EB486E">
        <w:rPr>
          <w:sz w:val="22"/>
          <w:szCs w:val="22"/>
        </w:rPr>
        <w:t xml:space="preserve">(C) Install, calibrate, maintain, and operate, according to the manufacturer's specifications, a device that indicates the amount of HAP or VOC recovered by the solvent recovery device over rolling 7- to 30-day periods; the device shall be certified by the manufacturer to be accurate to within ±2.0 percent, and this certification shall be kept on record; </w:t>
      </w:r>
    </w:p>
    <w:p w:rsidR="00EB486E" w:rsidRPr="00EB486E" w:rsidRDefault="00EB486E" w:rsidP="00EB486E">
      <w:pPr>
        <w:pStyle w:val="NormalWeb"/>
        <w:rPr>
          <w:sz w:val="22"/>
          <w:szCs w:val="22"/>
        </w:rPr>
      </w:pPr>
      <w:r w:rsidRPr="00EB486E">
        <w:rPr>
          <w:sz w:val="22"/>
          <w:szCs w:val="22"/>
        </w:rPr>
        <w:t xml:space="preserve">(D) Measure the amount of HAP or VOC recovered; and </w:t>
      </w:r>
    </w:p>
    <w:p w:rsidR="00EB486E" w:rsidRPr="00EB486E" w:rsidRDefault="00EB486E" w:rsidP="00EB486E">
      <w:pPr>
        <w:pStyle w:val="NormalWeb"/>
        <w:rPr>
          <w:sz w:val="22"/>
          <w:szCs w:val="22"/>
        </w:rPr>
      </w:pPr>
      <w:r w:rsidRPr="00EB486E">
        <w:rPr>
          <w:sz w:val="22"/>
          <w:szCs w:val="22"/>
        </w:rPr>
        <w:t xml:space="preserve">(E) Calculate the overall HAP or VOC emission reduction (R) for rolling 7- to 30-day periods using equation 9. </w:t>
      </w:r>
    </w:p>
    <w:p w:rsidR="00EB486E" w:rsidRPr="00EB486E" w:rsidRDefault="00EB486E" w:rsidP="00EB486E">
      <w:pPr>
        <w:pStyle w:val="NormalWeb"/>
        <w:rPr>
          <w:sz w:val="22"/>
          <w:szCs w:val="22"/>
        </w:rPr>
      </w:pPr>
      <w:r w:rsidRPr="00EB486E">
        <w:rPr>
          <w:sz w:val="22"/>
          <w:szCs w:val="22"/>
        </w:rPr>
        <w:t xml:space="preserve">(F) Compliance is demonstrated if the value of R is equal to or greater than the overall HAP control efficiencies required by §63.745(d), §63.746(c), or §63.747(d). </w:t>
      </w:r>
    </w:p>
    <w:p w:rsidR="00EB486E" w:rsidRPr="00EB486E" w:rsidRDefault="00EB486E" w:rsidP="00EB486E">
      <w:pPr>
        <w:pStyle w:val="NormalWeb"/>
        <w:rPr>
          <w:sz w:val="22"/>
          <w:szCs w:val="22"/>
        </w:rPr>
      </w:pPr>
      <w:r w:rsidRPr="00EB486E">
        <w:rPr>
          <w:sz w:val="22"/>
          <w:szCs w:val="22"/>
        </w:rPr>
        <w:t xml:space="preserve">(2) To demonstrate initial compliance with §63.745(d), §63.746(c), or §63.747(d) when affected HAP emission points are controlled by an emission control device other than a fixed-bed carbon adsorption system with individual exhaust stacks for each carbon adsorber vessel, each owner or operator of an affected source shall perform a gaseous emission test using the following procedures. </w:t>
      </w:r>
    </w:p>
    <w:p w:rsidR="00EB486E" w:rsidRPr="00EB486E" w:rsidRDefault="00EB486E" w:rsidP="00EB486E">
      <w:pPr>
        <w:pStyle w:val="NormalWeb"/>
        <w:rPr>
          <w:sz w:val="22"/>
          <w:szCs w:val="22"/>
        </w:rPr>
      </w:pPr>
      <w:r w:rsidRPr="00EB486E">
        <w:rPr>
          <w:sz w:val="22"/>
          <w:szCs w:val="22"/>
        </w:rPr>
        <w:t xml:space="preserve">(i) Construct the overall HAP emission reduction system so that all volumetric flow rates and total HAP or VOC emissions can be accurately determined by the applicable test methods and procedures specified in §63.750(g) (9) through (14). </w:t>
      </w:r>
    </w:p>
    <w:p w:rsidR="00EB486E" w:rsidRPr="00EB486E" w:rsidRDefault="00EB486E" w:rsidP="00EB486E">
      <w:pPr>
        <w:pStyle w:val="NormalWeb"/>
        <w:rPr>
          <w:sz w:val="22"/>
          <w:szCs w:val="22"/>
        </w:rPr>
      </w:pPr>
      <w:r w:rsidRPr="00EB486E">
        <w:rPr>
          <w:sz w:val="22"/>
          <w:szCs w:val="22"/>
        </w:rPr>
        <w:t xml:space="preserve">(ii) Determine capture efficiency from the HAP emission points by capturing, venting, and measuring all HAP emissions from the HAP emission points. During a performance test, the owner or operator of affected HAP emission points located in an area with other gaseous emission sources not affected by this subpart shall isolate the affected HAP emission points from all other gaseous emission points by one of the following methods: </w:t>
      </w:r>
    </w:p>
    <w:p w:rsidR="00EB486E" w:rsidRPr="00EB486E" w:rsidRDefault="00EB486E" w:rsidP="00EB486E">
      <w:pPr>
        <w:pStyle w:val="NormalWeb"/>
        <w:rPr>
          <w:sz w:val="22"/>
          <w:szCs w:val="22"/>
        </w:rPr>
      </w:pPr>
      <w:r w:rsidRPr="00EB486E">
        <w:rPr>
          <w:sz w:val="22"/>
          <w:szCs w:val="22"/>
        </w:rPr>
        <w:t xml:space="preserve">(A) Build a temporary total enclosure around the affected HAP emission point(s); or </w:t>
      </w:r>
    </w:p>
    <w:p w:rsidR="00EB486E" w:rsidRPr="00EB486E" w:rsidRDefault="00EB486E" w:rsidP="00EB486E">
      <w:pPr>
        <w:pStyle w:val="NormalWeb"/>
        <w:rPr>
          <w:sz w:val="22"/>
          <w:szCs w:val="22"/>
        </w:rPr>
      </w:pPr>
      <w:r w:rsidRPr="00EB486E">
        <w:rPr>
          <w:sz w:val="22"/>
          <w:szCs w:val="22"/>
        </w:rPr>
        <w:lastRenderedPageBreak/>
        <w:t xml:space="preserve">(B) Shut down all gaseous emission points not affected by this subpart and continue to exhaust fugitive emissions from the affected HAP emission points through any building ventilation system and other room exhausts such as drying ovens. All ventilation air must be vented through stacks suitable for testing. </w:t>
      </w:r>
    </w:p>
    <w:p w:rsidR="00EB486E" w:rsidRPr="00EB486E" w:rsidRDefault="00EB486E" w:rsidP="00EB486E">
      <w:pPr>
        <w:pStyle w:val="NormalWeb"/>
        <w:rPr>
          <w:sz w:val="22"/>
          <w:szCs w:val="22"/>
        </w:rPr>
      </w:pPr>
      <w:r w:rsidRPr="00EB486E">
        <w:rPr>
          <w:sz w:val="22"/>
          <w:szCs w:val="22"/>
        </w:rPr>
        <w:t xml:space="preserve">(iii) Operate the emission control device with all affected HAP emission points connected and operating. </w:t>
      </w:r>
    </w:p>
    <w:p w:rsidR="00EB486E" w:rsidRPr="00EB486E" w:rsidRDefault="00EB486E" w:rsidP="00EB486E">
      <w:pPr>
        <w:pStyle w:val="NormalWeb"/>
        <w:rPr>
          <w:sz w:val="22"/>
          <w:szCs w:val="22"/>
        </w:rPr>
      </w:pPr>
      <w:r w:rsidRPr="00EB486E">
        <w:rPr>
          <w:sz w:val="22"/>
          <w:szCs w:val="22"/>
        </w:rPr>
        <w:t xml:space="preserve">(iv) Determine the efficiency (E) of the control device using equation 10: </w:t>
      </w:r>
    </w:p>
    <w:p w:rsidR="00EB486E" w:rsidRPr="00EB486E" w:rsidRDefault="00EB486E" w:rsidP="00EB486E">
      <w:pPr>
        <w:pStyle w:val="NormalWeb"/>
        <w:rPr>
          <w:sz w:val="22"/>
          <w:szCs w:val="22"/>
        </w:rPr>
      </w:pPr>
      <w:r w:rsidRPr="00EB486E">
        <w:rPr>
          <w:sz w:val="22"/>
          <w:szCs w:val="22"/>
        </w:rPr>
        <w:t xml:space="preserve">(v) Determine the efficiency (F) of the capture system using equation 11: </w:t>
      </w:r>
    </w:p>
    <w:p w:rsidR="00EB486E" w:rsidRPr="00EB486E" w:rsidRDefault="00EB486E" w:rsidP="00EB486E">
      <w:pPr>
        <w:rPr>
          <w:szCs w:val="22"/>
        </w:rPr>
      </w:pPr>
      <w:r w:rsidRPr="00EB486E">
        <w:rPr>
          <w:noProof/>
          <w:szCs w:val="22"/>
        </w:rPr>
        <w:drawing>
          <wp:inline distT="0" distB="0" distL="0" distR="0">
            <wp:extent cx="2456815" cy="1924050"/>
            <wp:effectExtent l="0" t="0" r="635" b="0"/>
            <wp:docPr id="39" name="Picture 39" descr="eCFR graphic er01se95.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eCFR graphic er01se95.013.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56815" cy="1924050"/>
                    </a:xfrm>
                    <a:prstGeom prst="rect">
                      <a:avLst/>
                    </a:prstGeom>
                    <a:noFill/>
                    <a:ln>
                      <a:noFill/>
                    </a:ln>
                  </pic:spPr>
                </pic:pic>
              </a:graphicData>
            </a:graphic>
          </wp:inline>
        </w:drawing>
      </w:r>
    </w:p>
    <w:p w:rsidR="00EB486E" w:rsidRPr="00EB486E" w:rsidRDefault="00EB486E" w:rsidP="00EB486E">
      <w:pPr>
        <w:pStyle w:val="NormalWeb"/>
        <w:rPr>
          <w:sz w:val="22"/>
          <w:szCs w:val="22"/>
        </w:rPr>
      </w:pPr>
      <w:r w:rsidRPr="00EB486E">
        <w:rPr>
          <w:sz w:val="22"/>
          <w:szCs w:val="22"/>
        </w:rPr>
        <w:t xml:space="preserve"> (vi) For each HAP emission point subject to §63.745(d), §63.746(c), or §63.747(d), compliance is demonstrated if the product of (E) × (F) is equal to or greater than the overall HAP control efficiencies required under §63.745(d), §63.746(c), or §63.747(d). </w:t>
      </w:r>
    </w:p>
    <w:p w:rsidR="00EB486E" w:rsidRPr="00EB486E" w:rsidRDefault="00EB486E" w:rsidP="00EB486E">
      <w:pPr>
        <w:pStyle w:val="NormalWeb"/>
        <w:rPr>
          <w:sz w:val="22"/>
          <w:szCs w:val="22"/>
        </w:rPr>
      </w:pPr>
      <w:r w:rsidRPr="00EB486E">
        <w:rPr>
          <w:sz w:val="22"/>
          <w:szCs w:val="22"/>
        </w:rPr>
        <w:t xml:space="preserve">(3) To demonstrate compliance with §63.745(d), §63.746(c), or §63.747(d) when affected HAP emission points are controlled by a fixed-bed carbon adsorption system with individual exhaust stacks for each carbon adsorber vessel, each owner or operator of an affected source shall perform a gaseous emission test using the following procedures: </w:t>
      </w:r>
    </w:p>
    <w:p w:rsidR="00EB486E" w:rsidRPr="00EB486E" w:rsidRDefault="00EB486E" w:rsidP="00EB486E">
      <w:pPr>
        <w:pStyle w:val="NormalWeb"/>
        <w:rPr>
          <w:sz w:val="22"/>
          <w:szCs w:val="22"/>
        </w:rPr>
      </w:pPr>
      <w:r w:rsidRPr="00EB486E">
        <w:rPr>
          <w:sz w:val="22"/>
          <w:szCs w:val="22"/>
        </w:rPr>
        <w:t xml:space="preserve">(i) Construct the overall HAP emission reduction system so that each volumetric flow rate and the total HAP emissions can be accurately determined by the applicable test methods and procedures specified in §63.750(g) (9) through (14); </w:t>
      </w:r>
    </w:p>
    <w:p w:rsidR="00EB486E" w:rsidRPr="00EB486E" w:rsidRDefault="00EB486E" w:rsidP="00EB486E">
      <w:pPr>
        <w:pStyle w:val="NormalWeb"/>
        <w:rPr>
          <w:sz w:val="22"/>
          <w:szCs w:val="22"/>
        </w:rPr>
      </w:pPr>
      <w:r w:rsidRPr="00EB486E">
        <w:rPr>
          <w:sz w:val="22"/>
          <w:szCs w:val="22"/>
        </w:rPr>
        <w:t>(ii) Assure that all HAP emissions from the affected HAP emission point(s) are segregated from gaseous emission points not affected by this subpart and that the emissions can be captured for measurement, as described in paragraphs (g)(2)(ii) (A) and (B) of this section;</w:t>
      </w:r>
    </w:p>
    <w:p w:rsidR="00EB486E" w:rsidRPr="00EB486E" w:rsidRDefault="00EB486E" w:rsidP="00EB486E">
      <w:pPr>
        <w:pStyle w:val="NormalWeb"/>
        <w:rPr>
          <w:sz w:val="22"/>
          <w:szCs w:val="22"/>
        </w:rPr>
      </w:pPr>
      <w:r w:rsidRPr="00EB486E">
        <w:rPr>
          <w:sz w:val="22"/>
          <w:szCs w:val="22"/>
        </w:rPr>
        <w:t xml:space="preserve">(iii) Operate the emission control device with all affected HAP emission points connected and operating; </w:t>
      </w:r>
    </w:p>
    <w:p w:rsidR="00EB486E" w:rsidRPr="00EB486E" w:rsidRDefault="00EB486E" w:rsidP="00EB486E">
      <w:pPr>
        <w:pStyle w:val="NormalWeb"/>
        <w:rPr>
          <w:sz w:val="22"/>
          <w:szCs w:val="22"/>
        </w:rPr>
      </w:pPr>
      <w:r w:rsidRPr="00EB486E">
        <w:rPr>
          <w:sz w:val="22"/>
          <w:szCs w:val="22"/>
        </w:rPr>
        <w:t>(iv) Determine the efficiency (H</w:t>
      </w:r>
      <w:r w:rsidRPr="00EB486E">
        <w:rPr>
          <w:sz w:val="22"/>
          <w:szCs w:val="22"/>
          <w:vertAlign w:val="subscript"/>
        </w:rPr>
        <w:t>v</w:t>
      </w:r>
      <w:r w:rsidRPr="00EB486E">
        <w:rPr>
          <w:sz w:val="22"/>
          <w:szCs w:val="22"/>
        </w:rPr>
        <w:t xml:space="preserve">) of each individual carbon adsorber vessel (v) using equation 12: </w:t>
      </w:r>
    </w:p>
    <w:p w:rsidR="00EB486E" w:rsidRPr="00EB486E" w:rsidRDefault="00EB486E" w:rsidP="00EB486E">
      <w:pPr>
        <w:rPr>
          <w:szCs w:val="22"/>
        </w:rPr>
      </w:pPr>
      <w:r w:rsidRPr="00EB486E">
        <w:rPr>
          <w:noProof/>
          <w:szCs w:val="22"/>
        </w:rPr>
        <w:drawing>
          <wp:inline distT="0" distB="0" distL="0" distR="0">
            <wp:extent cx="2345690" cy="469265"/>
            <wp:effectExtent l="0" t="0" r="0" b="6985"/>
            <wp:docPr id="38" name="Picture 38" descr="eCFR graphic er01se95.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eCFR graphic er01se95.014.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45690" cy="469265"/>
                    </a:xfrm>
                    <a:prstGeom prst="rect">
                      <a:avLst/>
                    </a:prstGeom>
                    <a:noFill/>
                    <a:ln>
                      <a:noFill/>
                    </a:ln>
                  </pic:spPr>
                </pic:pic>
              </a:graphicData>
            </a:graphic>
          </wp:inline>
        </w:drawing>
      </w:r>
    </w:p>
    <w:p w:rsidR="00EB486E" w:rsidRPr="00EB486E" w:rsidRDefault="00EB486E" w:rsidP="00EB486E">
      <w:pPr>
        <w:pStyle w:val="NormalWeb"/>
        <w:rPr>
          <w:sz w:val="22"/>
          <w:szCs w:val="22"/>
        </w:rPr>
      </w:pPr>
      <w:r w:rsidRPr="00EB486E">
        <w:rPr>
          <w:sz w:val="22"/>
          <w:szCs w:val="22"/>
        </w:rPr>
        <w:lastRenderedPageBreak/>
        <w:t xml:space="preserve"> (v) Determine the efficiency of the carbon adsorption system (H</w:t>
      </w:r>
      <w:r w:rsidRPr="00EB486E">
        <w:rPr>
          <w:sz w:val="22"/>
          <w:szCs w:val="22"/>
          <w:vertAlign w:val="subscript"/>
        </w:rPr>
        <w:t>sys</w:t>
      </w:r>
      <w:r w:rsidRPr="00EB486E">
        <w:rPr>
          <w:sz w:val="22"/>
          <w:szCs w:val="22"/>
        </w:rPr>
        <w:t>) by computing the average efficiency of the individual carbon adsorber vessels as weighted by the volumetric flow rate (Q</w:t>
      </w:r>
      <w:r w:rsidRPr="00EB486E">
        <w:rPr>
          <w:sz w:val="22"/>
          <w:szCs w:val="22"/>
          <w:vertAlign w:val="subscript"/>
        </w:rPr>
        <w:t>hv</w:t>
      </w:r>
      <w:r w:rsidRPr="00EB486E">
        <w:rPr>
          <w:sz w:val="22"/>
          <w:szCs w:val="22"/>
        </w:rPr>
        <w:t xml:space="preserve">) of each individual carbon adsorber vessel (v) using equation 13: </w:t>
      </w:r>
    </w:p>
    <w:p w:rsidR="00EB486E" w:rsidRPr="00EB486E" w:rsidRDefault="00EB486E" w:rsidP="00EB486E">
      <w:pPr>
        <w:rPr>
          <w:szCs w:val="22"/>
        </w:rPr>
      </w:pPr>
      <w:r w:rsidRPr="00EB486E">
        <w:rPr>
          <w:noProof/>
          <w:szCs w:val="22"/>
        </w:rPr>
        <w:drawing>
          <wp:inline distT="0" distB="0" distL="0" distR="0">
            <wp:extent cx="2401570" cy="842645"/>
            <wp:effectExtent l="0" t="0" r="0" b="0"/>
            <wp:docPr id="37" name="Picture 37" descr="eCFR graphic er01se95.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eCFR graphic er01se95.015.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01570" cy="842645"/>
                    </a:xfrm>
                    <a:prstGeom prst="rect">
                      <a:avLst/>
                    </a:prstGeom>
                    <a:noFill/>
                    <a:ln>
                      <a:noFill/>
                    </a:ln>
                  </pic:spPr>
                </pic:pic>
              </a:graphicData>
            </a:graphic>
          </wp:inline>
        </w:drawing>
      </w:r>
    </w:p>
    <w:p w:rsidR="00EB486E" w:rsidRPr="00EB486E" w:rsidRDefault="00EB486E" w:rsidP="00EB486E">
      <w:pPr>
        <w:pStyle w:val="NormalWeb"/>
        <w:rPr>
          <w:sz w:val="22"/>
          <w:szCs w:val="22"/>
        </w:rPr>
      </w:pPr>
      <w:r w:rsidRPr="00EB486E">
        <w:rPr>
          <w:sz w:val="22"/>
          <w:szCs w:val="22"/>
        </w:rPr>
        <w:t xml:space="preserve"> (vi) Determine the efficiency (F) of the capture system using equation 11. </w:t>
      </w:r>
    </w:p>
    <w:p w:rsidR="00EB486E" w:rsidRPr="00EB486E" w:rsidRDefault="00EB486E" w:rsidP="00EB486E">
      <w:pPr>
        <w:pStyle w:val="NormalWeb"/>
        <w:rPr>
          <w:sz w:val="22"/>
          <w:szCs w:val="22"/>
        </w:rPr>
      </w:pPr>
      <w:r w:rsidRPr="00EB486E">
        <w:rPr>
          <w:sz w:val="22"/>
          <w:szCs w:val="22"/>
        </w:rPr>
        <w:t>(vii) For each HAP emission point subject to §63.745(d), §63.746(c), or §63.747(d), compliance is demonstrated if the product of (H</w:t>
      </w:r>
      <w:r w:rsidRPr="00EB486E">
        <w:rPr>
          <w:sz w:val="22"/>
          <w:szCs w:val="22"/>
          <w:vertAlign w:val="subscript"/>
        </w:rPr>
        <w:t>sys</w:t>
      </w:r>
      <w:r w:rsidRPr="00EB486E">
        <w:rPr>
          <w:sz w:val="22"/>
          <w:szCs w:val="22"/>
        </w:rPr>
        <w:t>) × (F) is equal to or greater than the overall HAP control efficiency required by §63.745(d), §63.746(c), or §63.747(d).</w:t>
      </w:r>
    </w:p>
    <w:p w:rsidR="00EB486E" w:rsidRPr="00EB486E" w:rsidRDefault="00EB486E" w:rsidP="00EB486E">
      <w:pPr>
        <w:pStyle w:val="NormalWeb"/>
        <w:rPr>
          <w:sz w:val="22"/>
          <w:szCs w:val="22"/>
        </w:rPr>
      </w:pPr>
      <w:r w:rsidRPr="00EB486E">
        <w:rPr>
          <w:sz w:val="22"/>
          <w:szCs w:val="22"/>
        </w:rPr>
        <w:t xml:space="preserve">(4) An alternative method of demonstrating compliance with §63.745(d), §63.746(c), or §63.747(d) is the installation of a total enclosure around the affected HAP emission point(s) and the ventilation of all HAP emissions from the total enclosure to a control device with the efficiency specified in paragraph (g)(4)(iii) of this section. If this method is selected, the compliance test methods described in paragraphs (g)(1), (g)(2), and (g)(3) of this section are not required. Instead, each owner or operator of an affected source shall: </w:t>
      </w:r>
    </w:p>
    <w:p w:rsidR="00EB486E" w:rsidRPr="00EB486E" w:rsidRDefault="00EB486E" w:rsidP="00EB486E">
      <w:pPr>
        <w:pStyle w:val="NormalWeb"/>
        <w:rPr>
          <w:sz w:val="22"/>
          <w:szCs w:val="22"/>
        </w:rPr>
      </w:pPr>
      <w:r w:rsidRPr="00EB486E">
        <w:rPr>
          <w:sz w:val="22"/>
          <w:szCs w:val="22"/>
        </w:rPr>
        <w:t xml:space="preserve">(i) Demonstrate that a total enclosure is installed. An enclosure that meets the requirements in paragraphs (g)(4)(i) (A) through (D) of this section shall be considered a total enclosure. The owner or operator of an enclosure that does not meet these requirements may apply to the Administrator for approval of the enclosure as a total enclosure on a case-by-case basis. The enclosure shall be considered a total enclosure if it is demonstrated to the satisfaction of the Administrator that all HAP emissions from the affected HAP emission point(s) are contained and vented to the control device. The requirements for automatic approval are as follows: </w:t>
      </w:r>
    </w:p>
    <w:p w:rsidR="00EB486E" w:rsidRPr="00EB486E" w:rsidRDefault="00EB486E" w:rsidP="00EB486E">
      <w:pPr>
        <w:pStyle w:val="NormalWeb"/>
        <w:rPr>
          <w:sz w:val="22"/>
          <w:szCs w:val="22"/>
        </w:rPr>
      </w:pPr>
      <w:r w:rsidRPr="00EB486E">
        <w:rPr>
          <w:sz w:val="22"/>
          <w:szCs w:val="22"/>
        </w:rPr>
        <w:t xml:space="preserve">(A) The total area of all natural draft openings shall not exceed 5% of the total surface area of the total enclosure's walls, floor, and ceiling; </w:t>
      </w:r>
    </w:p>
    <w:p w:rsidR="00EB486E" w:rsidRPr="00EB486E" w:rsidRDefault="00EB486E" w:rsidP="00EB486E">
      <w:pPr>
        <w:pStyle w:val="NormalWeb"/>
        <w:rPr>
          <w:sz w:val="22"/>
          <w:szCs w:val="22"/>
        </w:rPr>
      </w:pPr>
      <w:r w:rsidRPr="00EB486E">
        <w:rPr>
          <w:sz w:val="22"/>
          <w:szCs w:val="22"/>
        </w:rPr>
        <w:t xml:space="preserve">(B) All sources of emissions within the enclosure shall be a minimum of four equivalent diameters away from each natural draft opening; </w:t>
      </w:r>
    </w:p>
    <w:p w:rsidR="00EB486E" w:rsidRPr="00EB486E" w:rsidRDefault="00EB486E" w:rsidP="00EB486E">
      <w:pPr>
        <w:pStyle w:val="NormalWeb"/>
        <w:rPr>
          <w:sz w:val="22"/>
          <w:szCs w:val="22"/>
        </w:rPr>
      </w:pPr>
      <w:r w:rsidRPr="00EB486E">
        <w:rPr>
          <w:sz w:val="22"/>
          <w:szCs w:val="22"/>
        </w:rPr>
        <w:t xml:space="preserve">(C) The average inward face velocity (FV) across all natural draft openings shall be a minimum of 3,600 meters per hour as determined by the following procedures: </w:t>
      </w:r>
    </w:p>
    <w:p w:rsidR="00EB486E" w:rsidRPr="00EB486E" w:rsidRDefault="00EB486E" w:rsidP="00EB486E">
      <w:pPr>
        <w:pStyle w:val="NormalWeb"/>
        <w:rPr>
          <w:sz w:val="22"/>
          <w:szCs w:val="22"/>
        </w:rPr>
      </w:pPr>
      <w:r w:rsidRPr="00EB486E">
        <w:rPr>
          <w:sz w:val="22"/>
          <w:szCs w:val="22"/>
        </w:rPr>
        <w:t>(</w:t>
      </w:r>
      <w:r w:rsidRPr="00EB486E">
        <w:rPr>
          <w:i/>
          <w:iCs/>
          <w:sz w:val="22"/>
          <w:szCs w:val="22"/>
        </w:rPr>
        <w:t>1</w:t>
      </w:r>
      <w:r w:rsidRPr="00EB486E">
        <w:rPr>
          <w:sz w:val="22"/>
          <w:szCs w:val="22"/>
        </w:rPr>
        <w:t xml:space="preserve">) All forced makeup air ducts and all exhaust ducts are constructed so that the volumetric flow rate in each can be accurately determined by the test methods and procedures specified in §63.750(g) (10) and (11); volumetric flow rates shall be calculated without the adjustment normally made for moisture content; and </w:t>
      </w:r>
    </w:p>
    <w:p w:rsidR="00EB486E" w:rsidRPr="00EB486E" w:rsidRDefault="00EB486E" w:rsidP="00EB486E">
      <w:pPr>
        <w:pStyle w:val="NormalWeb"/>
        <w:rPr>
          <w:sz w:val="22"/>
          <w:szCs w:val="22"/>
        </w:rPr>
      </w:pPr>
      <w:r w:rsidRPr="00EB486E">
        <w:rPr>
          <w:sz w:val="22"/>
          <w:szCs w:val="22"/>
        </w:rPr>
        <w:t>(</w:t>
      </w:r>
      <w:r w:rsidRPr="00EB486E">
        <w:rPr>
          <w:i/>
          <w:iCs/>
          <w:sz w:val="22"/>
          <w:szCs w:val="22"/>
        </w:rPr>
        <w:t>2</w:t>
      </w:r>
      <w:r w:rsidRPr="00EB486E">
        <w:rPr>
          <w:sz w:val="22"/>
          <w:szCs w:val="22"/>
        </w:rPr>
        <w:t xml:space="preserve">) Determine FV by equation 14: </w:t>
      </w:r>
    </w:p>
    <w:p w:rsidR="00EB486E" w:rsidRPr="00EB486E" w:rsidRDefault="00EB486E" w:rsidP="00EB486E">
      <w:pPr>
        <w:rPr>
          <w:szCs w:val="22"/>
        </w:rPr>
      </w:pPr>
      <w:r w:rsidRPr="00EB486E">
        <w:rPr>
          <w:noProof/>
          <w:szCs w:val="22"/>
        </w:rPr>
        <w:lastRenderedPageBreak/>
        <w:drawing>
          <wp:inline distT="0" distB="0" distL="0" distR="0">
            <wp:extent cx="2440940" cy="858520"/>
            <wp:effectExtent l="0" t="0" r="0" b="0"/>
            <wp:docPr id="36" name="Picture 36" descr="eCFR graphic er01se95.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eCFR graphic er01se95.016.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40940" cy="858520"/>
                    </a:xfrm>
                    <a:prstGeom prst="rect">
                      <a:avLst/>
                    </a:prstGeom>
                    <a:noFill/>
                    <a:ln>
                      <a:noFill/>
                    </a:ln>
                  </pic:spPr>
                </pic:pic>
              </a:graphicData>
            </a:graphic>
          </wp:inline>
        </w:drawing>
      </w:r>
    </w:p>
    <w:p w:rsidR="00EB486E" w:rsidRPr="00EB486E" w:rsidRDefault="00EB486E" w:rsidP="00EB486E">
      <w:pPr>
        <w:pStyle w:val="NormalWeb"/>
        <w:rPr>
          <w:sz w:val="22"/>
          <w:szCs w:val="22"/>
        </w:rPr>
      </w:pPr>
      <w:r w:rsidRPr="00EB486E">
        <w:rPr>
          <w:sz w:val="22"/>
          <w:szCs w:val="22"/>
        </w:rPr>
        <w:t xml:space="preserve"> (D) The air passing through all natural draft openings shall flow into the enclosure continuously. If FV is less than or equal to 9,000 meters per hour, the continuous inward flow of air shall be verified by continuous observation using smoke tubes, streamers, tracer gases, or other means approved by the Administrator over the period that the volumetric flow rate tests required to determine FV are carried out. If FV is greater than 9,000 meters per hour, the direction of airflow through the natural draft openings shall be presumed to be inward </w:t>
      </w:r>
      <w:proofErr w:type="gramStart"/>
      <w:r w:rsidRPr="00EB486E">
        <w:rPr>
          <w:sz w:val="22"/>
          <w:szCs w:val="22"/>
        </w:rPr>
        <w:t>at all times</w:t>
      </w:r>
      <w:proofErr w:type="gramEnd"/>
      <w:r w:rsidRPr="00EB486E">
        <w:rPr>
          <w:sz w:val="22"/>
          <w:szCs w:val="22"/>
        </w:rPr>
        <w:t xml:space="preserve"> without verification. </w:t>
      </w:r>
    </w:p>
    <w:p w:rsidR="00EB486E" w:rsidRPr="00EB486E" w:rsidRDefault="00EB486E" w:rsidP="00EB486E">
      <w:pPr>
        <w:pStyle w:val="NormalWeb"/>
        <w:rPr>
          <w:sz w:val="22"/>
          <w:szCs w:val="22"/>
        </w:rPr>
      </w:pPr>
      <w:r w:rsidRPr="00EB486E">
        <w:rPr>
          <w:sz w:val="22"/>
          <w:szCs w:val="22"/>
        </w:rPr>
        <w:t xml:space="preserve">(ii) Determine the control device efficiency using equation 10 or equations 12 and 13, as applicable, and the test methods and procedures specified in §63.750(g) (9) through (14). </w:t>
      </w:r>
    </w:p>
    <w:p w:rsidR="00EB486E" w:rsidRPr="00EB486E" w:rsidRDefault="00EB486E" w:rsidP="00EB486E">
      <w:pPr>
        <w:pStyle w:val="NormalWeb"/>
        <w:rPr>
          <w:sz w:val="22"/>
          <w:szCs w:val="22"/>
        </w:rPr>
      </w:pPr>
      <w:r w:rsidRPr="00EB486E">
        <w:rPr>
          <w:sz w:val="22"/>
          <w:szCs w:val="22"/>
        </w:rPr>
        <w:t>(iii) Compliance shall be achieved if the installation of a total enclosure is demonstrated and the value of E determined from equation 10 (or the value of H</w:t>
      </w:r>
      <w:r w:rsidRPr="00EB486E">
        <w:rPr>
          <w:sz w:val="22"/>
          <w:szCs w:val="22"/>
          <w:vertAlign w:val="subscript"/>
        </w:rPr>
        <w:t>sys</w:t>
      </w:r>
      <w:r w:rsidRPr="00EB486E">
        <w:rPr>
          <w:sz w:val="22"/>
          <w:szCs w:val="22"/>
        </w:rPr>
        <w:t xml:space="preserve"> determined from equations 12 and 13, as applicable) is equal to or greater than the overall HAP control efficiencies required under §63.745(d), §63.746(c), or §63.747(d). </w:t>
      </w:r>
    </w:p>
    <w:p w:rsidR="00EB486E" w:rsidRPr="00EB486E" w:rsidRDefault="00EB486E" w:rsidP="00EB486E">
      <w:pPr>
        <w:pStyle w:val="NormalWeb"/>
        <w:rPr>
          <w:sz w:val="22"/>
          <w:szCs w:val="22"/>
        </w:rPr>
      </w:pPr>
      <w:r w:rsidRPr="00EB486E">
        <w:rPr>
          <w:sz w:val="22"/>
          <w:szCs w:val="22"/>
        </w:rPr>
        <w:t xml:space="preserve">(5) When nonregenerative carbon adsorbers are used to comply with §63.745(d), §63.746(c), or §63.747(d), the owner or operator may conduct a design evaluation to demonstrate initial compliance in lieu of following the compliance test procedures of paragraphs (g)(1), (2), (3), and (4) of this section. The design evaluation shall consider the vent stream composition, component concentrations, flow rate, relative humidity, and temperature, and shall establish the design exhaust vent stream organic compound concentration level, capacity of the carbon bed, type and working capacity of activated carbon used for the carbon bed, and design carbon replacement interval based on the total carbon working capacity of the control device and the emission point operating schedule. </w:t>
      </w:r>
    </w:p>
    <w:p w:rsidR="00EB486E" w:rsidRPr="00EB486E" w:rsidRDefault="00EB486E" w:rsidP="00EB486E">
      <w:pPr>
        <w:pStyle w:val="NormalWeb"/>
        <w:rPr>
          <w:sz w:val="22"/>
          <w:szCs w:val="22"/>
        </w:rPr>
      </w:pPr>
      <w:r w:rsidRPr="00EB486E">
        <w:rPr>
          <w:sz w:val="22"/>
          <w:szCs w:val="22"/>
        </w:rPr>
        <w:t xml:space="preserve">(6)(i) To demonstrate initial compliance with §63.745(d), §63.746(c), or §63.747(d) when hard piping or ductwork is used to direct VOC and HAP emissions from a VOC and HAP source to the control device, each owner or operator shall demonstrate upon inspection that the criteria of paragraph (g)(6)(i)(A) and paragraph (g)(6)(i) (B) or (C) of this section VR/FD are met. </w:t>
      </w:r>
    </w:p>
    <w:p w:rsidR="00EB486E" w:rsidRPr="00EB486E" w:rsidRDefault="00EB486E" w:rsidP="00EB486E">
      <w:pPr>
        <w:pStyle w:val="NormalWeb"/>
        <w:rPr>
          <w:sz w:val="22"/>
          <w:szCs w:val="22"/>
        </w:rPr>
      </w:pPr>
      <w:r w:rsidRPr="00EB486E">
        <w:rPr>
          <w:sz w:val="22"/>
          <w:szCs w:val="22"/>
        </w:rPr>
        <w:t xml:space="preserve">(A) The equipment shall be vented to a control device. </w:t>
      </w:r>
    </w:p>
    <w:p w:rsidR="00EB486E" w:rsidRPr="00EB486E" w:rsidRDefault="00EB486E" w:rsidP="00EB486E">
      <w:pPr>
        <w:pStyle w:val="NormalWeb"/>
        <w:rPr>
          <w:sz w:val="22"/>
          <w:szCs w:val="22"/>
        </w:rPr>
      </w:pPr>
      <w:r w:rsidRPr="00EB486E">
        <w:rPr>
          <w:sz w:val="22"/>
          <w:szCs w:val="22"/>
        </w:rPr>
        <w:t>(B) The control device efficiency (E or H</w:t>
      </w:r>
      <w:r w:rsidRPr="00EB486E">
        <w:rPr>
          <w:sz w:val="22"/>
          <w:szCs w:val="22"/>
          <w:vertAlign w:val="subscript"/>
        </w:rPr>
        <w:t>sys</w:t>
      </w:r>
      <w:r w:rsidRPr="00EB486E">
        <w:rPr>
          <w:sz w:val="22"/>
          <w:szCs w:val="22"/>
        </w:rPr>
        <w:t xml:space="preserve">, as applicable) determined using equation 10 or equations 12 and 13, respectively, and the test methods and procedures specified in §63.750(g) (9) through (14), shall be equal to or greater than the overall HAP control efficiency required by §63.745(d), §63.746(c), or §63.747(d). </w:t>
      </w:r>
    </w:p>
    <w:p w:rsidR="00EB486E" w:rsidRPr="00EB486E" w:rsidRDefault="00EB486E" w:rsidP="00EB486E">
      <w:pPr>
        <w:pStyle w:val="NormalWeb"/>
        <w:rPr>
          <w:sz w:val="22"/>
          <w:szCs w:val="22"/>
        </w:rPr>
      </w:pPr>
      <w:r w:rsidRPr="00EB486E">
        <w:rPr>
          <w:sz w:val="22"/>
          <w:szCs w:val="22"/>
        </w:rPr>
        <w:t xml:space="preserve">(C) When a nonregenerative carbon adsorber is used, the ductwork from the affected emission point(s) shall be vented to the control device and the carbon adsorber shall be demonstrated, through the procedures of §63.750(g) (1), (2), (3), (4), or (5), to meet the requirements of §63.745(d), §63.746(c), or §63.747(d). </w:t>
      </w:r>
    </w:p>
    <w:p w:rsidR="00EB486E" w:rsidRPr="00EB486E" w:rsidRDefault="00EB486E" w:rsidP="00EB486E">
      <w:pPr>
        <w:pStyle w:val="NormalWeb"/>
        <w:rPr>
          <w:sz w:val="22"/>
          <w:szCs w:val="22"/>
        </w:rPr>
      </w:pPr>
      <w:r w:rsidRPr="00EB486E">
        <w:rPr>
          <w:sz w:val="22"/>
          <w:szCs w:val="22"/>
        </w:rPr>
        <w:t xml:space="preserve">(7) Startups and shutdowns are normal operation for this source category. Emissions from these activities are to be included when determining if the standards specified in §63.745(d), §63.746(c), or §63.747(d) are being attained. </w:t>
      </w:r>
    </w:p>
    <w:p w:rsidR="00EB486E" w:rsidRPr="00EB486E" w:rsidRDefault="00EB486E" w:rsidP="00EB486E">
      <w:pPr>
        <w:pStyle w:val="NormalWeb"/>
        <w:rPr>
          <w:sz w:val="22"/>
          <w:szCs w:val="22"/>
        </w:rPr>
      </w:pPr>
      <w:r w:rsidRPr="00EB486E">
        <w:rPr>
          <w:sz w:val="22"/>
          <w:szCs w:val="22"/>
        </w:rPr>
        <w:lastRenderedPageBreak/>
        <w:t xml:space="preserve">(8) An owner or operator who uses compliance techniques other than those specified in this subpart shall submit a description of those compliance procedures, subject to the Administrator's approval, in accordance with §63.7(f) of subpart A. </w:t>
      </w:r>
    </w:p>
    <w:p w:rsidR="00EB486E" w:rsidRPr="00EB486E" w:rsidRDefault="00EB486E" w:rsidP="00EB486E">
      <w:pPr>
        <w:pStyle w:val="NormalWeb"/>
        <w:rPr>
          <w:sz w:val="22"/>
          <w:szCs w:val="22"/>
        </w:rPr>
      </w:pPr>
      <w:r w:rsidRPr="00EB486E">
        <w:rPr>
          <w:sz w:val="22"/>
          <w:szCs w:val="22"/>
        </w:rPr>
        <w:t xml:space="preserve">(9) Either EPA Method 18 or EPA Method 25A of appendix A of part 60, as appropriate to the conditions at the site, shall be used to determine VOC and HAP concentration of air exhaust streams as required by §63.750(g) (1) through (6). The owner or operator shall submit notice of the intended test method to the Administrator for approval along with the notification of the performance test required under §63.7(b). Method selection shall be based on consideration of the diversity of organic species present and their total concentration and on consideration of the potential presence of interfering gases. Except as indicated in paragraphs (g)(9) (i) and (ii) of this section, the test shall consist of three separate runs, each lasting a minimum of 30 minutes. </w:t>
      </w:r>
    </w:p>
    <w:p w:rsidR="00EB486E" w:rsidRPr="00EB486E" w:rsidRDefault="00EB486E" w:rsidP="00EB486E">
      <w:pPr>
        <w:pStyle w:val="NormalWeb"/>
        <w:rPr>
          <w:sz w:val="22"/>
          <w:szCs w:val="22"/>
        </w:rPr>
      </w:pPr>
      <w:r w:rsidRPr="00EB486E">
        <w:rPr>
          <w:sz w:val="22"/>
          <w:szCs w:val="22"/>
        </w:rPr>
        <w:t xml:space="preserve">(i) When either EPA Method 18 or EPA Method 25A is to be used in the determination of the efficiency of a fixed-bed carbon adsorption system with a common exhaust stack for all the individual carbon adsorber vessels pursuant to paragraph (g) (2) or (4) of this section, the test shall consist of three separate runs, each coinciding with one or more complete sequences through the adsorption cycles of </w:t>
      </w:r>
      <w:proofErr w:type="gramStart"/>
      <w:r w:rsidRPr="00EB486E">
        <w:rPr>
          <w:sz w:val="22"/>
          <w:szCs w:val="22"/>
        </w:rPr>
        <w:t>all of</w:t>
      </w:r>
      <w:proofErr w:type="gramEnd"/>
      <w:r w:rsidRPr="00EB486E">
        <w:rPr>
          <w:sz w:val="22"/>
          <w:szCs w:val="22"/>
        </w:rPr>
        <w:t xml:space="preserve"> the individual carbon adsorber vessels.</w:t>
      </w:r>
    </w:p>
    <w:p w:rsidR="00EB486E" w:rsidRPr="00EB486E" w:rsidRDefault="00EB486E" w:rsidP="00EB486E">
      <w:pPr>
        <w:pStyle w:val="NormalWeb"/>
        <w:rPr>
          <w:sz w:val="22"/>
          <w:szCs w:val="22"/>
        </w:rPr>
      </w:pPr>
      <w:r w:rsidRPr="00EB486E">
        <w:rPr>
          <w:sz w:val="22"/>
          <w:szCs w:val="22"/>
        </w:rPr>
        <w:t xml:space="preserve">(ii) When either EPA Method 18 or EPA Method 25A is to be used in the determination of the efficiency of a fixed-bed carbon adsorption system with individual exhaust stacks for each carbon adsorber vessel pursuant to §63.750(g) (3) or (4), each carbon adsorber vessel shall be tested individually. The test for each carbon adsorber vessel shall consist of three separate runs. Each run shall coincide with one or more complete adsorption cycles. </w:t>
      </w:r>
    </w:p>
    <w:p w:rsidR="00EB486E" w:rsidRPr="00EB486E" w:rsidRDefault="00EB486E" w:rsidP="00EB486E">
      <w:pPr>
        <w:pStyle w:val="NormalWeb"/>
        <w:rPr>
          <w:sz w:val="22"/>
          <w:szCs w:val="22"/>
        </w:rPr>
      </w:pPr>
      <w:r w:rsidRPr="00EB486E">
        <w:rPr>
          <w:sz w:val="22"/>
          <w:szCs w:val="22"/>
        </w:rPr>
        <w:t xml:space="preserve">(10) EPA Method 1 or 1A of appendix A of part 60 is used for sample and velocity traverses. </w:t>
      </w:r>
    </w:p>
    <w:p w:rsidR="00EB486E" w:rsidRPr="00EB486E" w:rsidRDefault="00EB486E" w:rsidP="00EB486E">
      <w:pPr>
        <w:pStyle w:val="NormalWeb"/>
        <w:rPr>
          <w:sz w:val="22"/>
          <w:szCs w:val="22"/>
        </w:rPr>
      </w:pPr>
      <w:r w:rsidRPr="00EB486E">
        <w:rPr>
          <w:sz w:val="22"/>
          <w:szCs w:val="22"/>
        </w:rPr>
        <w:t xml:space="preserve">(11) EPA Method 2, 2A, 2C, or 2D of appendix A of part 60 is used for velocity and volumetric flow rates. </w:t>
      </w:r>
    </w:p>
    <w:p w:rsidR="00EB486E" w:rsidRPr="00EB486E" w:rsidRDefault="00EB486E" w:rsidP="00EB486E">
      <w:pPr>
        <w:pStyle w:val="NormalWeb"/>
        <w:rPr>
          <w:sz w:val="22"/>
          <w:szCs w:val="22"/>
        </w:rPr>
      </w:pPr>
      <w:r w:rsidRPr="00EB486E">
        <w:rPr>
          <w:sz w:val="22"/>
          <w:szCs w:val="22"/>
        </w:rPr>
        <w:t xml:space="preserve">(12) EPA Method 3 of appendix A of part 60 is used for gas analysis. </w:t>
      </w:r>
    </w:p>
    <w:p w:rsidR="00EB486E" w:rsidRPr="00EB486E" w:rsidRDefault="00EB486E" w:rsidP="00EB486E">
      <w:pPr>
        <w:pStyle w:val="NormalWeb"/>
        <w:rPr>
          <w:sz w:val="22"/>
          <w:szCs w:val="22"/>
        </w:rPr>
      </w:pPr>
      <w:r w:rsidRPr="00EB486E">
        <w:rPr>
          <w:sz w:val="22"/>
          <w:szCs w:val="22"/>
        </w:rPr>
        <w:t xml:space="preserve">(13) EPA Method 4 of appendix A of part 60 is used for stack gas moisture. </w:t>
      </w:r>
    </w:p>
    <w:p w:rsidR="00EB486E" w:rsidRPr="00EB486E" w:rsidRDefault="00EB486E" w:rsidP="00EB486E">
      <w:pPr>
        <w:pStyle w:val="NormalWeb"/>
        <w:rPr>
          <w:sz w:val="22"/>
          <w:szCs w:val="22"/>
        </w:rPr>
      </w:pPr>
      <w:r w:rsidRPr="00EB486E">
        <w:rPr>
          <w:sz w:val="22"/>
          <w:szCs w:val="22"/>
        </w:rPr>
        <w:t xml:space="preserve">(14) EPA Methods 2, 2A, 2C, 2D, 3, and 4 shall be performed, as applicable, at least twice during each test period. </w:t>
      </w:r>
    </w:p>
    <w:p w:rsidR="00EB486E" w:rsidRPr="00EB486E" w:rsidRDefault="00EB486E" w:rsidP="00EB486E">
      <w:pPr>
        <w:pStyle w:val="NormalWeb"/>
        <w:rPr>
          <w:sz w:val="22"/>
          <w:szCs w:val="22"/>
        </w:rPr>
      </w:pPr>
      <w:r w:rsidRPr="00EB486E">
        <w:rPr>
          <w:sz w:val="22"/>
          <w:szCs w:val="22"/>
        </w:rPr>
        <w:t xml:space="preserve">(h) </w:t>
      </w:r>
      <w:r w:rsidRPr="00EB486E">
        <w:rPr>
          <w:i/>
          <w:iCs/>
          <w:sz w:val="22"/>
          <w:szCs w:val="22"/>
        </w:rPr>
        <w:t>Overall VOC and/or organic HAP control efficiency—control devices other than carbon adsorbers.</w:t>
      </w:r>
      <w:r w:rsidRPr="00EB486E">
        <w:rPr>
          <w:sz w:val="22"/>
          <w:szCs w:val="22"/>
        </w:rPr>
        <w:t xml:space="preserve"> Calculate the overall control efficiency of a control system with a control device other than a carbon adsorber using the following procedure. </w:t>
      </w:r>
    </w:p>
    <w:p w:rsidR="00EB486E" w:rsidRPr="00EB486E" w:rsidRDefault="00EB486E" w:rsidP="00EB486E">
      <w:pPr>
        <w:pStyle w:val="NormalWeb"/>
        <w:rPr>
          <w:sz w:val="22"/>
          <w:szCs w:val="22"/>
        </w:rPr>
      </w:pPr>
      <w:r w:rsidRPr="00EB486E">
        <w:rPr>
          <w:sz w:val="22"/>
          <w:szCs w:val="22"/>
        </w:rPr>
        <w:t xml:space="preserve">(1) Calculate the overall control efficiency using equation 15: </w:t>
      </w:r>
    </w:p>
    <w:p w:rsidR="00EB486E" w:rsidRPr="00EB486E" w:rsidRDefault="00EB486E" w:rsidP="00EB486E">
      <w:pPr>
        <w:rPr>
          <w:szCs w:val="22"/>
        </w:rPr>
      </w:pPr>
      <w:r w:rsidRPr="00EB486E">
        <w:rPr>
          <w:noProof/>
          <w:szCs w:val="22"/>
        </w:rPr>
        <w:drawing>
          <wp:inline distT="0" distB="0" distL="0" distR="0">
            <wp:extent cx="2377440" cy="230505"/>
            <wp:effectExtent l="0" t="0" r="3810" b="0"/>
            <wp:docPr id="35" name="Picture 35" descr="eCFR graphic er01se95.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eCFR graphic er01se95.017.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77440" cy="230505"/>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 xml:space="preserve">where: </w:t>
      </w:r>
    </w:p>
    <w:p w:rsidR="00EB486E" w:rsidRPr="00EB486E" w:rsidRDefault="00EB486E" w:rsidP="00EB486E">
      <w:pPr>
        <w:pStyle w:val="fp-2"/>
        <w:rPr>
          <w:sz w:val="22"/>
          <w:szCs w:val="22"/>
        </w:rPr>
      </w:pPr>
      <w:r w:rsidRPr="00EB486E">
        <w:rPr>
          <w:sz w:val="22"/>
          <w:szCs w:val="22"/>
        </w:rPr>
        <w:t>E</w:t>
      </w:r>
      <w:r w:rsidRPr="00EB486E">
        <w:rPr>
          <w:sz w:val="22"/>
          <w:szCs w:val="22"/>
          <w:vertAlign w:val="subscript"/>
        </w:rPr>
        <w:t>k</w:t>
      </w:r>
      <w:r w:rsidRPr="00EB486E">
        <w:rPr>
          <w:sz w:val="22"/>
          <w:szCs w:val="22"/>
        </w:rPr>
        <w:t xml:space="preserve"> = overall VOC and/or organic HAP control efficiency (expressed as a decimal) of control system k. </w:t>
      </w:r>
    </w:p>
    <w:p w:rsidR="00EB486E" w:rsidRPr="00EB486E" w:rsidRDefault="00EB486E" w:rsidP="00EB486E">
      <w:pPr>
        <w:pStyle w:val="fp-2"/>
        <w:rPr>
          <w:sz w:val="22"/>
          <w:szCs w:val="22"/>
        </w:rPr>
      </w:pPr>
      <w:r w:rsidRPr="00EB486E">
        <w:rPr>
          <w:sz w:val="22"/>
          <w:szCs w:val="22"/>
        </w:rPr>
        <w:t>R</w:t>
      </w:r>
      <w:r w:rsidRPr="00EB486E">
        <w:rPr>
          <w:sz w:val="22"/>
          <w:szCs w:val="22"/>
          <w:vertAlign w:val="subscript"/>
        </w:rPr>
        <w:t>k</w:t>
      </w:r>
      <w:r w:rsidRPr="00EB486E">
        <w:rPr>
          <w:sz w:val="22"/>
          <w:szCs w:val="22"/>
        </w:rPr>
        <w:t xml:space="preserve"> = destruction or removal efficiency (expressed as a decimal) of total organic compounds or total organic HAP for control device k as determined under paragraph (h)(2) of this section. </w:t>
      </w:r>
    </w:p>
    <w:p w:rsidR="00EB486E" w:rsidRPr="00EB486E" w:rsidRDefault="00EB486E" w:rsidP="00EB486E">
      <w:pPr>
        <w:pStyle w:val="fp-2"/>
        <w:rPr>
          <w:sz w:val="22"/>
          <w:szCs w:val="22"/>
        </w:rPr>
      </w:pPr>
      <w:r w:rsidRPr="00EB486E">
        <w:rPr>
          <w:sz w:val="22"/>
          <w:szCs w:val="22"/>
        </w:rPr>
        <w:lastRenderedPageBreak/>
        <w:t>F</w:t>
      </w:r>
      <w:r w:rsidRPr="00EB486E">
        <w:rPr>
          <w:sz w:val="22"/>
          <w:szCs w:val="22"/>
          <w:vertAlign w:val="subscript"/>
        </w:rPr>
        <w:t>k</w:t>
      </w:r>
      <w:r w:rsidRPr="00EB486E">
        <w:rPr>
          <w:sz w:val="22"/>
          <w:szCs w:val="22"/>
        </w:rPr>
        <w:t xml:space="preserve"> = capture efficiency (expressed as a decimal) of capture system k as determined under paragraph (h)(3) of this section.</w:t>
      </w:r>
    </w:p>
    <w:p w:rsidR="00EB486E" w:rsidRPr="00EB486E" w:rsidRDefault="00EB486E" w:rsidP="00EB486E">
      <w:pPr>
        <w:pStyle w:val="NormalWeb"/>
        <w:rPr>
          <w:sz w:val="22"/>
          <w:szCs w:val="22"/>
        </w:rPr>
      </w:pPr>
      <w:r w:rsidRPr="00EB486E">
        <w:rPr>
          <w:sz w:val="22"/>
          <w:szCs w:val="22"/>
        </w:rPr>
        <w:t>(2) The organic HAP destruction or removal efficiency R</w:t>
      </w:r>
      <w:r w:rsidRPr="00EB486E">
        <w:rPr>
          <w:sz w:val="22"/>
          <w:szCs w:val="22"/>
          <w:vertAlign w:val="subscript"/>
        </w:rPr>
        <w:t>k</w:t>
      </w:r>
      <w:r w:rsidRPr="00EB486E">
        <w:rPr>
          <w:sz w:val="22"/>
          <w:szCs w:val="22"/>
        </w:rPr>
        <w:t xml:space="preserve"> of a control device other than a carbon adsorber shall be determined using the procedures described below. The destruction efficiency may be measured as either total organic HAP or as TOC minus methane and ethane according to these procedures. </w:t>
      </w:r>
    </w:p>
    <w:p w:rsidR="00EB486E" w:rsidRPr="00EB486E" w:rsidRDefault="00EB486E" w:rsidP="00EB486E">
      <w:pPr>
        <w:pStyle w:val="NormalWeb"/>
        <w:rPr>
          <w:sz w:val="22"/>
          <w:szCs w:val="22"/>
        </w:rPr>
      </w:pPr>
      <w:r w:rsidRPr="00EB486E">
        <w:rPr>
          <w:sz w:val="22"/>
          <w:szCs w:val="22"/>
        </w:rPr>
        <w:t xml:space="preserve">(i) Use Method 1 or 1A of 40 CFR part 60, appendix A, as appropriate, to select the sampling sites. </w:t>
      </w:r>
    </w:p>
    <w:p w:rsidR="00EB486E" w:rsidRPr="00EB486E" w:rsidRDefault="00EB486E" w:rsidP="00EB486E">
      <w:pPr>
        <w:pStyle w:val="NormalWeb"/>
        <w:rPr>
          <w:sz w:val="22"/>
          <w:szCs w:val="22"/>
        </w:rPr>
      </w:pPr>
      <w:r w:rsidRPr="00EB486E">
        <w:rPr>
          <w:sz w:val="22"/>
          <w:szCs w:val="22"/>
        </w:rPr>
        <w:t xml:space="preserve">(ii) Determine the gas volumetric flow rate using Method 2, 2A, 2C, or 2D of 40 CFR part 60, appendix A, as appropriate. </w:t>
      </w:r>
    </w:p>
    <w:p w:rsidR="00EB486E" w:rsidRPr="00EB486E" w:rsidRDefault="00EB486E" w:rsidP="00EB486E">
      <w:pPr>
        <w:pStyle w:val="NormalWeb"/>
        <w:rPr>
          <w:sz w:val="22"/>
          <w:szCs w:val="22"/>
        </w:rPr>
      </w:pPr>
      <w:r w:rsidRPr="00EB486E">
        <w:rPr>
          <w:sz w:val="22"/>
          <w:szCs w:val="22"/>
        </w:rPr>
        <w:t xml:space="preserve">(iii) Use Method 18 of 40 CFR part 60, appendix A, to measure either TOC minus methane and ethane or total organic HAP. Alternatively, any other method or data that have been validated according to the applicable procedures in Method 301 of this part may be used. </w:t>
      </w:r>
    </w:p>
    <w:p w:rsidR="00EB486E" w:rsidRPr="00EB486E" w:rsidRDefault="00EB486E" w:rsidP="00EB486E">
      <w:pPr>
        <w:pStyle w:val="NormalWeb"/>
        <w:rPr>
          <w:sz w:val="22"/>
          <w:szCs w:val="22"/>
        </w:rPr>
      </w:pPr>
      <w:r w:rsidRPr="00EB486E">
        <w:rPr>
          <w:sz w:val="22"/>
          <w:szCs w:val="22"/>
        </w:rPr>
        <w:t xml:space="preserve">(iv) Use the following procedure to calculate the destruction or removal efficiency: </w:t>
      </w:r>
    </w:p>
    <w:p w:rsidR="00EB486E" w:rsidRPr="00EB486E" w:rsidRDefault="00EB486E" w:rsidP="00EB486E">
      <w:pPr>
        <w:pStyle w:val="NormalWeb"/>
        <w:rPr>
          <w:sz w:val="22"/>
          <w:szCs w:val="22"/>
        </w:rPr>
      </w:pPr>
      <w:r w:rsidRPr="00EB486E">
        <w:rPr>
          <w:sz w:val="22"/>
          <w:szCs w:val="22"/>
        </w:rPr>
        <w:t xml:space="preserve">(A) The destruction or removal efficiency test shall consist of three runs. The minimum sampling time for each run shall be 1 hour in which either an integrated sample or a minimum of four grab samples shall be taken. If grab sampling is used, the samples shall be taken at approximately equal intervals in time such as 15-minute intervals during the run. </w:t>
      </w:r>
    </w:p>
    <w:p w:rsidR="00EB486E" w:rsidRPr="00EB486E" w:rsidRDefault="00EB486E" w:rsidP="00EB486E">
      <w:pPr>
        <w:pStyle w:val="NormalWeb"/>
        <w:rPr>
          <w:sz w:val="22"/>
          <w:szCs w:val="22"/>
        </w:rPr>
      </w:pPr>
      <w:r w:rsidRPr="00EB486E">
        <w:rPr>
          <w:sz w:val="22"/>
          <w:szCs w:val="22"/>
        </w:rPr>
        <w:t>(B) Calculate the mass rate of either TOC (minus methane and ethane) or total organic HAP (E</w:t>
      </w:r>
      <w:r w:rsidRPr="00EB486E">
        <w:rPr>
          <w:sz w:val="22"/>
          <w:szCs w:val="22"/>
          <w:vertAlign w:val="subscript"/>
        </w:rPr>
        <w:t>i</w:t>
      </w:r>
      <w:r w:rsidRPr="00EB486E">
        <w:rPr>
          <w:sz w:val="22"/>
          <w:szCs w:val="22"/>
        </w:rPr>
        <w:t>, E</w:t>
      </w:r>
      <w:r w:rsidRPr="00EB486E">
        <w:rPr>
          <w:sz w:val="22"/>
          <w:szCs w:val="22"/>
          <w:vertAlign w:val="subscript"/>
        </w:rPr>
        <w:t>o</w:t>
      </w:r>
      <w:r w:rsidRPr="00EB486E">
        <w:rPr>
          <w:sz w:val="22"/>
          <w:szCs w:val="22"/>
        </w:rPr>
        <w:t xml:space="preserve"> using equations 16 and 17: </w:t>
      </w:r>
    </w:p>
    <w:p w:rsidR="00EB486E" w:rsidRPr="00EB486E" w:rsidRDefault="00EB486E" w:rsidP="00EB486E">
      <w:pPr>
        <w:rPr>
          <w:szCs w:val="22"/>
        </w:rPr>
      </w:pPr>
      <w:r w:rsidRPr="00EB486E">
        <w:rPr>
          <w:noProof/>
          <w:szCs w:val="22"/>
        </w:rPr>
        <w:drawing>
          <wp:inline distT="0" distB="0" distL="0" distR="0">
            <wp:extent cx="2409190" cy="1216660"/>
            <wp:effectExtent l="0" t="0" r="0" b="2540"/>
            <wp:docPr id="34" name="Picture 34" descr="eCFR graphic er01se95.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eCFR graphic er01se95.018.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09190" cy="1216660"/>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 xml:space="preserve">where: </w:t>
      </w:r>
    </w:p>
    <w:p w:rsidR="00EB486E" w:rsidRPr="00EB486E" w:rsidRDefault="00EB486E" w:rsidP="00EB486E">
      <w:pPr>
        <w:pStyle w:val="fp-2"/>
        <w:rPr>
          <w:sz w:val="22"/>
          <w:szCs w:val="22"/>
        </w:rPr>
      </w:pPr>
      <w:r w:rsidRPr="00EB486E">
        <w:rPr>
          <w:sz w:val="22"/>
          <w:szCs w:val="22"/>
        </w:rPr>
        <w:t>E</w:t>
      </w:r>
      <w:r w:rsidRPr="00EB486E">
        <w:rPr>
          <w:sz w:val="22"/>
          <w:szCs w:val="22"/>
          <w:vertAlign w:val="subscript"/>
        </w:rPr>
        <w:t>i</w:t>
      </w:r>
      <w:r w:rsidRPr="00EB486E">
        <w:rPr>
          <w:sz w:val="22"/>
          <w:szCs w:val="22"/>
        </w:rPr>
        <w:t>, E</w:t>
      </w:r>
      <w:r w:rsidRPr="00EB486E">
        <w:rPr>
          <w:sz w:val="22"/>
          <w:szCs w:val="22"/>
          <w:vertAlign w:val="subscript"/>
        </w:rPr>
        <w:t>o</w:t>
      </w:r>
      <w:r w:rsidRPr="00EB486E">
        <w:rPr>
          <w:sz w:val="22"/>
          <w:szCs w:val="22"/>
        </w:rPr>
        <w:t xml:space="preserve"> = mass rate of TOC (minus methane and ethane) or total organic HAP at the inlet and outlet of the control device, respectively, dry basis, kg/hr. </w:t>
      </w:r>
    </w:p>
    <w:p w:rsidR="00EB486E" w:rsidRPr="00EB486E" w:rsidRDefault="00EB486E" w:rsidP="00EB486E">
      <w:pPr>
        <w:pStyle w:val="fp-2"/>
        <w:rPr>
          <w:sz w:val="22"/>
          <w:szCs w:val="22"/>
        </w:rPr>
      </w:pPr>
      <w:r w:rsidRPr="00EB486E">
        <w:rPr>
          <w:sz w:val="22"/>
          <w:szCs w:val="22"/>
        </w:rPr>
        <w:t>K</w:t>
      </w:r>
      <w:r w:rsidRPr="00EB486E">
        <w:rPr>
          <w:sz w:val="22"/>
          <w:szCs w:val="22"/>
          <w:vertAlign w:val="subscript"/>
        </w:rPr>
        <w:t>2</w:t>
      </w:r>
      <w:r w:rsidRPr="00EB486E">
        <w:rPr>
          <w:sz w:val="22"/>
          <w:szCs w:val="22"/>
        </w:rPr>
        <w:t xml:space="preserve"> = constant, 2.494 × 10</w:t>
      </w:r>
      <w:r w:rsidRPr="00EB486E">
        <w:rPr>
          <w:sz w:val="22"/>
          <w:szCs w:val="22"/>
          <w:vertAlign w:val="superscript"/>
        </w:rPr>
        <w:t>−6</w:t>
      </w:r>
      <w:r w:rsidRPr="00EB486E">
        <w:rPr>
          <w:sz w:val="22"/>
          <w:szCs w:val="22"/>
        </w:rPr>
        <w:t xml:space="preserve"> (parts per </w:t>
      </w:r>
      <w:proofErr w:type="gramStart"/>
      <w:r w:rsidRPr="00EB486E">
        <w:rPr>
          <w:sz w:val="22"/>
          <w:szCs w:val="22"/>
        </w:rPr>
        <w:t>million)</w:t>
      </w:r>
      <w:r w:rsidRPr="00EB486E">
        <w:rPr>
          <w:sz w:val="22"/>
          <w:szCs w:val="22"/>
          <w:vertAlign w:val="superscript"/>
        </w:rPr>
        <w:t>−</w:t>
      </w:r>
      <w:proofErr w:type="gramEnd"/>
      <w:r w:rsidRPr="00EB486E">
        <w:rPr>
          <w:sz w:val="22"/>
          <w:szCs w:val="22"/>
          <w:vertAlign w:val="superscript"/>
        </w:rPr>
        <w:t>1</w:t>
      </w:r>
      <w:r w:rsidRPr="00EB486E">
        <w:rPr>
          <w:sz w:val="22"/>
          <w:szCs w:val="22"/>
        </w:rPr>
        <w:t xml:space="preserve"> (gram-mole per standard cubic meter) (kilogram/gram) (minute/hour), where standard temperature for (gram-mole per standard cubic meter) is 20 °C. </w:t>
      </w:r>
    </w:p>
    <w:p w:rsidR="00EB486E" w:rsidRPr="00EB486E" w:rsidRDefault="00EB486E" w:rsidP="00EB486E">
      <w:pPr>
        <w:pStyle w:val="fp-2"/>
        <w:rPr>
          <w:sz w:val="22"/>
          <w:szCs w:val="22"/>
        </w:rPr>
      </w:pPr>
      <w:r w:rsidRPr="00EB486E">
        <w:rPr>
          <w:sz w:val="22"/>
          <w:szCs w:val="22"/>
        </w:rPr>
        <w:t xml:space="preserve">n = number of sample components in the gas stream. </w:t>
      </w:r>
    </w:p>
    <w:p w:rsidR="00EB486E" w:rsidRPr="00EB486E" w:rsidRDefault="00EB486E" w:rsidP="00EB486E">
      <w:pPr>
        <w:pStyle w:val="fp-2"/>
        <w:rPr>
          <w:sz w:val="22"/>
          <w:szCs w:val="22"/>
        </w:rPr>
      </w:pPr>
      <w:r w:rsidRPr="00EB486E">
        <w:rPr>
          <w:sz w:val="22"/>
          <w:szCs w:val="22"/>
        </w:rPr>
        <w:t>C</w:t>
      </w:r>
      <w:r w:rsidRPr="00EB486E">
        <w:rPr>
          <w:sz w:val="22"/>
          <w:szCs w:val="22"/>
          <w:vertAlign w:val="subscript"/>
        </w:rPr>
        <w:t>ij</w:t>
      </w:r>
      <w:r w:rsidRPr="00EB486E">
        <w:rPr>
          <w:sz w:val="22"/>
          <w:szCs w:val="22"/>
        </w:rPr>
        <w:t>, C</w:t>
      </w:r>
      <w:r w:rsidRPr="00EB486E">
        <w:rPr>
          <w:sz w:val="22"/>
          <w:szCs w:val="22"/>
          <w:vertAlign w:val="subscript"/>
        </w:rPr>
        <w:t>oj</w:t>
      </w:r>
      <w:r w:rsidRPr="00EB486E">
        <w:rPr>
          <w:sz w:val="22"/>
          <w:szCs w:val="22"/>
        </w:rPr>
        <w:t xml:space="preserve"> = concentration of sample component j of the gas stream at the inlet and outlet of the control device, respectively, dry basis, parts per million by volume. </w:t>
      </w:r>
    </w:p>
    <w:p w:rsidR="00EB486E" w:rsidRPr="00EB486E" w:rsidRDefault="00EB486E" w:rsidP="00EB486E">
      <w:pPr>
        <w:pStyle w:val="fp-2"/>
        <w:rPr>
          <w:sz w:val="22"/>
          <w:szCs w:val="22"/>
        </w:rPr>
      </w:pPr>
      <w:r w:rsidRPr="00EB486E">
        <w:rPr>
          <w:sz w:val="22"/>
          <w:szCs w:val="22"/>
        </w:rPr>
        <w:t>M</w:t>
      </w:r>
      <w:r w:rsidRPr="00EB486E">
        <w:rPr>
          <w:sz w:val="22"/>
          <w:szCs w:val="22"/>
          <w:vertAlign w:val="subscript"/>
        </w:rPr>
        <w:t>ij</w:t>
      </w:r>
      <w:r w:rsidRPr="00EB486E">
        <w:rPr>
          <w:sz w:val="22"/>
          <w:szCs w:val="22"/>
        </w:rPr>
        <w:t>, M</w:t>
      </w:r>
      <w:r w:rsidRPr="00EB486E">
        <w:rPr>
          <w:sz w:val="22"/>
          <w:szCs w:val="22"/>
          <w:vertAlign w:val="subscript"/>
        </w:rPr>
        <w:t>oj</w:t>
      </w:r>
      <w:r w:rsidRPr="00EB486E">
        <w:rPr>
          <w:sz w:val="22"/>
          <w:szCs w:val="22"/>
        </w:rPr>
        <w:t xml:space="preserve"> = molecular weight of sample component j of the gas stream at the inlet and outlet of the control device, respectively, gram/gram-mole. </w:t>
      </w:r>
    </w:p>
    <w:p w:rsidR="00EB486E" w:rsidRPr="00EB486E" w:rsidRDefault="00EB486E" w:rsidP="00EB486E">
      <w:pPr>
        <w:pStyle w:val="fp-2"/>
        <w:rPr>
          <w:sz w:val="22"/>
          <w:szCs w:val="22"/>
        </w:rPr>
      </w:pPr>
      <w:r w:rsidRPr="00EB486E">
        <w:rPr>
          <w:sz w:val="22"/>
          <w:szCs w:val="22"/>
        </w:rPr>
        <w:lastRenderedPageBreak/>
        <w:t>Q</w:t>
      </w:r>
      <w:r w:rsidRPr="00EB486E">
        <w:rPr>
          <w:sz w:val="22"/>
          <w:szCs w:val="22"/>
          <w:vertAlign w:val="subscript"/>
        </w:rPr>
        <w:t>i</w:t>
      </w:r>
      <w:r w:rsidRPr="00EB486E">
        <w:rPr>
          <w:sz w:val="22"/>
          <w:szCs w:val="22"/>
        </w:rPr>
        <w:t>, Q</w:t>
      </w:r>
      <w:r w:rsidRPr="00EB486E">
        <w:rPr>
          <w:sz w:val="22"/>
          <w:szCs w:val="22"/>
          <w:vertAlign w:val="subscript"/>
        </w:rPr>
        <w:t>o</w:t>
      </w:r>
      <w:r w:rsidRPr="00EB486E">
        <w:rPr>
          <w:sz w:val="22"/>
          <w:szCs w:val="22"/>
        </w:rPr>
        <w:t xml:space="preserve"> = flow rate of gas stream at the inlet and outlet of the control device, respectively, dry standard cubic meter per minute.</w:t>
      </w:r>
    </w:p>
    <w:p w:rsidR="00EB486E" w:rsidRPr="00EB486E" w:rsidRDefault="00EB486E" w:rsidP="00EB486E">
      <w:pPr>
        <w:pStyle w:val="NormalWeb"/>
        <w:rPr>
          <w:sz w:val="22"/>
          <w:szCs w:val="22"/>
        </w:rPr>
      </w:pPr>
      <w:r w:rsidRPr="00EB486E">
        <w:rPr>
          <w:sz w:val="22"/>
          <w:szCs w:val="22"/>
        </w:rPr>
        <w:t>(</w:t>
      </w:r>
      <w:r w:rsidRPr="00EB486E">
        <w:rPr>
          <w:i/>
          <w:iCs/>
          <w:sz w:val="22"/>
          <w:szCs w:val="22"/>
        </w:rPr>
        <w:t>1</w:t>
      </w:r>
      <w:r w:rsidRPr="00EB486E">
        <w:rPr>
          <w:sz w:val="22"/>
          <w:szCs w:val="22"/>
        </w:rPr>
        <w:t xml:space="preserve">) Where the mass rate of TOC is being calculated, all organic compounds (minus methane and ethane) measured by EPA Method 18 shall be summed using equation 16 in paragraph (h)(2)(iv)(B) of this section. </w:t>
      </w:r>
    </w:p>
    <w:p w:rsidR="00EB486E" w:rsidRPr="00EB486E" w:rsidRDefault="00EB486E" w:rsidP="00EB486E">
      <w:pPr>
        <w:pStyle w:val="NormalWeb"/>
        <w:rPr>
          <w:sz w:val="22"/>
          <w:szCs w:val="22"/>
        </w:rPr>
      </w:pPr>
      <w:r w:rsidRPr="00EB486E">
        <w:rPr>
          <w:sz w:val="22"/>
          <w:szCs w:val="22"/>
        </w:rPr>
        <w:t>(</w:t>
      </w:r>
      <w:r w:rsidRPr="00EB486E">
        <w:rPr>
          <w:i/>
          <w:iCs/>
          <w:sz w:val="22"/>
          <w:szCs w:val="22"/>
        </w:rPr>
        <w:t>2</w:t>
      </w:r>
      <w:r w:rsidRPr="00EB486E">
        <w:rPr>
          <w:sz w:val="22"/>
          <w:szCs w:val="22"/>
        </w:rPr>
        <w:t xml:space="preserve">) Where the mass rate of total organic HAP is being calculated, only the organic HAP species shall be summed using equation 17 in paragraph (h)(2)(iv)(B) of this section. The </w:t>
      </w:r>
      <w:proofErr w:type="gramStart"/>
      <w:r w:rsidRPr="00EB486E">
        <w:rPr>
          <w:sz w:val="22"/>
          <w:szCs w:val="22"/>
        </w:rPr>
        <w:t>list of organic HAP</w:t>
      </w:r>
      <w:proofErr w:type="gramEnd"/>
      <w:r w:rsidRPr="00EB486E">
        <w:rPr>
          <w:sz w:val="22"/>
          <w:szCs w:val="22"/>
        </w:rPr>
        <w:t xml:space="preserve"> is provided in §63.104 of subpart F of this part. </w:t>
      </w:r>
    </w:p>
    <w:p w:rsidR="00EB486E" w:rsidRPr="00EB486E" w:rsidRDefault="00EB486E" w:rsidP="00EB486E">
      <w:pPr>
        <w:pStyle w:val="NormalWeb"/>
        <w:rPr>
          <w:sz w:val="22"/>
          <w:szCs w:val="22"/>
        </w:rPr>
      </w:pPr>
      <w:r w:rsidRPr="00EB486E">
        <w:rPr>
          <w:sz w:val="22"/>
          <w:szCs w:val="22"/>
        </w:rPr>
        <w:t>(C) Calculate the destruction or removal efficiency for TOC (minus methane and ethane) or total organic HAP using equation 18:</w:t>
      </w:r>
    </w:p>
    <w:p w:rsidR="00EB486E" w:rsidRPr="00EB486E" w:rsidRDefault="00EB486E" w:rsidP="00EB486E">
      <w:pPr>
        <w:rPr>
          <w:szCs w:val="22"/>
        </w:rPr>
      </w:pPr>
      <w:r w:rsidRPr="00EB486E">
        <w:rPr>
          <w:noProof/>
          <w:szCs w:val="22"/>
        </w:rPr>
        <w:drawing>
          <wp:inline distT="0" distB="0" distL="0" distR="0">
            <wp:extent cx="2361565" cy="429260"/>
            <wp:effectExtent l="0" t="0" r="635" b="8890"/>
            <wp:docPr id="33" name="Picture 33" descr="eCFR graphic er01se95.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eCFR graphic er01se95.019.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361565" cy="429260"/>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where:</w:t>
      </w:r>
    </w:p>
    <w:p w:rsidR="00EB486E" w:rsidRPr="00EB486E" w:rsidRDefault="00EB486E" w:rsidP="00EB486E">
      <w:pPr>
        <w:pStyle w:val="fp-2"/>
        <w:rPr>
          <w:sz w:val="22"/>
          <w:szCs w:val="22"/>
        </w:rPr>
      </w:pPr>
      <w:r w:rsidRPr="00EB486E">
        <w:rPr>
          <w:sz w:val="22"/>
          <w:szCs w:val="22"/>
        </w:rPr>
        <w:t xml:space="preserve">R = destruction or removal efficiency of control device, percent. </w:t>
      </w:r>
    </w:p>
    <w:p w:rsidR="00EB486E" w:rsidRPr="00EB486E" w:rsidRDefault="00EB486E" w:rsidP="00EB486E">
      <w:pPr>
        <w:pStyle w:val="fp-2"/>
        <w:rPr>
          <w:sz w:val="22"/>
          <w:szCs w:val="22"/>
        </w:rPr>
      </w:pPr>
      <w:r w:rsidRPr="00EB486E">
        <w:rPr>
          <w:sz w:val="22"/>
          <w:szCs w:val="22"/>
        </w:rPr>
        <w:t>E</w:t>
      </w:r>
      <w:r w:rsidRPr="00EB486E">
        <w:rPr>
          <w:sz w:val="22"/>
          <w:szCs w:val="22"/>
          <w:vertAlign w:val="subscript"/>
        </w:rPr>
        <w:t>i</w:t>
      </w:r>
      <w:r w:rsidRPr="00EB486E">
        <w:rPr>
          <w:sz w:val="22"/>
          <w:szCs w:val="22"/>
        </w:rPr>
        <w:t xml:space="preserve"> = mass rate of TOC (minus methane and ethane) or total organic HAP at the inlet to the control device as calculated under paragraph (h)(2)(iv)(B) of this section, kg TOC per hour or kg organic HAP per hour. </w:t>
      </w:r>
    </w:p>
    <w:p w:rsidR="00EB486E" w:rsidRPr="00EB486E" w:rsidRDefault="00EB486E" w:rsidP="00EB486E">
      <w:pPr>
        <w:pStyle w:val="fp-2"/>
        <w:rPr>
          <w:sz w:val="22"/>
          <w:szCs w:val="22"/>
        </w:rPr>
      </w:pPr>
      <w:r w:rsidRPr="00EB486E">
        <w:rPr>
          <w:sz w:val="22"/>
          <w:szCs w:val="22"/>
        </w:rPr>
        <w:t>E</w:t>
      </w:r>
      <w:r w:rsidRPr="00EB486E">
        <w:rPr>
          <w:sz w:val="22"/>
          <w:szCs w:val="22"/>
          <w:vertAlign w:val="subscript"/>
        </w:rPr>
        <w:t>o</w:t>
      </w:r>
      <w:r w:rsidRPr="00EB486E">
        <w:rPr>
          <w:sz w:val="22"/>
          <w:szCs w:val="22"/>
        </w:rPr>
        <w:t xml:space="preserve"> = mass rate of TOC (minus methane and ethane) or total organic HAP at the outlet of the control device, as calculated under paragraph (h)(2)(iv)(B) of this section, kg TOC per hour or kg organic HAP per hour.</w:t>
      </w:r>
    </w:p>
    <w:p w:rsidR="00EB486E" w:rsidRPr="00EB486E" w:rsidRDefault="00EB486E" w:rsidP="00EB486E">
      <w:pPr>
        <w:pStyle w:val="NormalWeb"/>
        <w:rPr>
          <w:sz w:val="22"/>
          <w:szCs w:val="22"/>
        </w:rPr>
      </w:pPr>
      <w:r w:rsidRPr="00EB486E">
        <w:rPr>
          <w:sz w:val="22"/>
          <w:szCs w:val="22"/>
        </w:rPr>
        <w:t>(3) Determine the capture efficiency F</w:t>
      </w:r>
      <w:r w:rsidRPr="00EB486E">
        <w:rPr>
          <w:sz w:val="22"/>
          <w:szCs w:val="22"/>
          <w:vertAlign w:val="subscript"/>
        </w:rPr>
        <w:t>k</w:t>
      </w:r>
      <w:r w:rsidRPr="00EB486E">
        <w:rPr>
          <w:sz w:val="22"/>
          <w:szCs w:val="22"/>
        </w:rPr>
        <w:t xml:space="preserve"> of each capture system to which organic HAP and VOC emissions from coating operations are vented. The capture efficiency value shall be determined using Procedure T—Criteria for and Verification of a Permanent or Temporary Total Enclosure as found in appendix B to §52.741 of part 52 of this chapter for total enclosures, and the capture efficiency protocol specified in §52.741(a)(4)(iii) of part 52 of this chapter for all other enclosures. </w:t>
      </w:r>
    </w:p>
    <w:p w:rsidR="00EB486E" w:rsidRPr="00EB486E" w:rsidRDefault="00EB486E" w:rsidP="00EB486E">
      <w:pPr>
        <w:pStyle w:val="NormalWeb"/>
        <w:rPr>
          <w:sz w:val="22"/>
          <w:szCs w:val="22"/>
        </w:rPr>
      </w:pPr>
      <w:r w:rsidRPr="00EB486E">
        <w:rPr>
          <w:sz w:val="22"/>
          <w:szCs w:val="22"/>
        </w:rPr>
        <w:t xml:space="preserve">(i)(1) </w:t>
      </w:r>
      <w:r w:rsidRPr="00EB486E">
        <w:rPr>
          <w:i/>
          <w:iCs/>
          <w:sz w:val="22"/>
          <w:szCs w:val="22"/>
        </w:rPr>
        <w:t>Alternative application method—primers, topcoats, and specialty coatings.</w:t>
      </w:r>
      <w:r w:rsidRPr="00EB486E">
        <w:rPr>
          <w:sz w:val="22"/>
          <w:szCs w:val="22"/>
        </w:rPr>
        <w:t xml:space="preserve"> (i) Each owner or operator seeking to use an alternative application method (as allowed in §63.745(f)(1)(v)) in complying with the standards for primers and topcoats shall use the procedures specified in paragraphs (i)(2)(i) and (ii) or (i)(2)(iii) of this section to determine the organic HAP and VOC emission levels of the alternative application technique as compared to either HVLP, electrostatic spray application methods, air-assisted airless application methods, or airless application methods.</w:t>
      </w:r>
    </w:p>
    <w:p w:rsidR="00EB486E" w:rsidRPr="00EB486E" w:rsidRDefault="00EB486E" w:rsidP="00EB486E">
      <w:pPr>
        <w:pStyle w:val="NormalWeb"/>
        <w:rPr>
          <w:sz w:val="22"/>
          <w:szCs w:val="22"/>
        </w:rPr>
      </w:pPr>
      <w:r w:rsidRPr="00EB486E">
        <w:rPr>
          <w:sz w:val="22"/>
          <w:szCs w:val="22"/>
        </w:rPr>
        <w:t>(ii) For specialty coatings, an owner or operator may use any other coating application method capable of achieving emission reductions or a transfer efficiency equivalent to or better than that provided by HVLP, electrostatic spray, air-assisted airless, or airless application. Any owner or operator using an application method pursuant to this paragraph (i)(2)(ii) shall maintain records demonstrating the transfer efficiency achieved.</w:t>
      </w:r>
    </w:p>
    <w:p w:rsidR="00EB486E" w:rsidRPr="00EB486E" w:rsidRDefault="00EB486E" w:rsidP="00EB486E">
      <w:pPr>
        <w:pStyle w:val="NormalWeb"/>
        <w:rPr>
          <w:sz w:val="22"/>
          <w:szCs w:val="22"/>
        </w:rPr>
      </w:pPr>
      <w:r w:rsidRPr="00EB486E">
        <w:rPr>
          <w:sz w:val="22"/>
          <w:szCs w:val="22"/>
        </w:rPr>
        <w:t xml:space="preserve">(2)(i) For the process or processes for which the alternative application method is to be used, the total organic HAP and VOC emissions shall be determined for an initial 30-day period, the </w:t>
      </w:r>
      <w:proofErr w:type="gramStart"/>
      <w:r w:rsidRPr="00EB486E">
        <w:rPr>
          <w:sz w:val="22"/>
          <w:szCs w:val="22"/>
        </w:rPr>
        <w:t>period of time</w:t>
      </w:r>
      <w:proofErr w:type="gramEnd"/>
      <w:r w:rsidRPr="00EB486E">
        <w:rPr>
          <w:sz w:val="22"/>
          <w:szCs w:val="22"/>
        </w:rPr>
        <w:t xml:space="preserve"> required to apply coating to five completely assembled aircraft, or a time period approved by the permitting agency. During this initial period, only HVLP, electrostatic spray application methods, air-assisted airless application methods, or </w:t>
      </w:r>
      <w:r w:rsidRPr="00EB486E">
        <w:rPr>
          <w:sz w:val="22"/>
          <w:szCs w:val="22"/>
        </w:rPr>
        <w:lastRenderedPageBreak/>
        <w:t>airless application methods shall be used. The emissions shall be determined based on the volumes, organic HAP contents (less water), and VOC contents (less water and exempt solvents) of the coatings as applied.</w:t>
      </w:r>
    </w:p>
    <w:p w:rsidR="00EB486E" w:rsidRPr="00EB486E" w:rsidRDefault="00EB486E" w:rsidP="00EB486E">
      <w:pPr>
        <w:pStyle w:val="NormalWeb"/>
        <w:rPr>
          <w:sz w:val="22"/>
          <w:szCs w:val="22"/>
        </w:rPr>
      </w:pPr>
      <w:r w:rsidRPr="00EB486E">
        <w:rPr>
          <w:sz w:val="22"/>
          <w:szCs w:val="22"/>
        </w:rPr>
        <w:t xml:space="preserve">(ii) Upon implementation of the alternative application method, use the alternative application method in production on actual production parts or assemblies for </w:t>
      </w:r>
      <w:proofErr w:type="gramStart"/>
      <w:r w:rsidRPr="00EB486E">
        <w:rPr>
          <w:sz w:val="22"/>
          <w:szCs w:val="22"/>
        </w:rPr>
        <w:t>a period of time</w:t>
      </w:r>
      <w:proofErr w:type="gramEnd"/>
      <w:r w:rsidRPr="00EB486E">
        <w:rPr>
          <w:sz w:val="22"/>
          <w:szCs w:val="22"/>
        </w:rPr>
        <w:t xml:space="preserve"> sufficient to coat an equivalent amount of parts and assemblies with coatings identical to those used in the initial 30-day period. The actual organic HAP and VOC emissions shall be calculated for this post-implementation period. </w:t>
      </w:r>
    </w:p>
    <w:p w:rsidR="00EB486E" w:rsidRPr="00EB486E" w:rsidRDefault="00EB486E" w:rsidP="00EB486E">
      <w:pPr>
        <w:pStyle w:val="NormalWeb"/>
        <w:rPr>
          <w:sz w:val="22"/>
          <w:szCs w:val="22"/>
        </w:rPr>
      </w:pPr>
      <w:r w:rsidRPr="00EB486E">
        <w:rPr>
          <w:sz w:val="22"/>
          <w:szCs w:val="22"/>
        </w:rPr>
        <w:t>(iii) Test the proposed application method against either HVLP, electrostatic spray application methods, air-assisted airless application methods, or airless application methods in a laboratory or pilot production area, using parts and coatings representative of the process(es) where the alternative method is to be used. The laboratory test will use the same part configuration(s) and the same number of parts for both the proposed method and the HVLP, electrostatic spray application methods, air-assisted airless application methods, or airless application methods.</w:t>
      </w:r>
    </w:p>
    <w:p w:rsidR="00EB486E" w:rsidRPr="00EB486E" w:rsidRDefault="00EB486E" w:rsidP="00EB486E">
      <w:pPr>
        <w:pStyle w:val="NormalWeb"/>
        <w:rPr>
          <w:sz w:val="22"/>
          <w:szCs w:val="22"/>
        </w:rPr>
      </w:pPr>
      <w:r w:rsidRPr="00EB486E">
        <w:rPr>
          <w:sz w:val="22"/>
          <w:szCs w:val="22"/>
        </w:rPr>
        <w:t>(iv) Whenever the approach in either paragraph (i)(2)(ii) or (i)(2)(iii) of this section is used, the owner or operator shall calculate both the organic HAP and VOC emission reduction using equation:</w:t>
      </w:r>
    </w:p>
    <w:p w:rsidR="00EB486E" w:rsidRPr="00EB486E" w:rsidRDefault="00EB486E" w:rsidP="00EB486E">
      <w:pPr>
        <w:rPr>
          <w:szCs w:val="22"/>
        </w:rPr>
      </w:pPr>
      <w:r w:rsidRPr="00EB486E">
        <w:rPr>
          <w:noProof/>
          <w:szCs w:val="22"/>
        </w:rPr>
        <w:drawing>
          <wp:inline distT="0" distB="0" distL="0" distR="0">
            <wp:extent cx="2075180" cy="429260"/>
            <wp:effectExtent l="0" t="0" r="1270" b="8890"/>
            <wp:docPr id="32" name="Picture 32" descr="eCFR graphic er01se9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eCFR graphic er01se98.001.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75180" cy="429260"/>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where:</w:t>
      </w:r>
    </w:p>
    <w:p w:rsidR="00EB486E" w:rsidRPr="00EB486E" w:rsidRDefault="00EB486E" w:rsidP="00EB486E">
      <w:pPr>
        <w:pStyle w:val="fp-2"/>
        <w:rPr>
          <w:sz w:val="22"/>
          <w:szCs w:val="22"/>
        </w:rPr>
      </w:pPr>
      <w:r w:rsidRPr="00EB486E">
        <w:rPr>
          <w:sz w:val="22"/>
          <w:szCs w:val="22"/>
        </w:rPr>
        <w:t>P = organic HAP or VOC emission reduction, percent.</w:t>
      </w:r>
    </w:p>
    <w:p w:rsidR="00EB486E" w:rsidRPr="00EB486E" w:rsidRDefault="00EB486E" w:rsidP="00EB486E">
      <w:pPr>
        <w:pStyle w:val="fp-2"/>
        <w:rPr>
          <w:sz w:val="22"/>
          <w:szCs w:val="22"/>
        </w:rPr>
      </w:pPr>
      <w:r w:rsidRPr="00EB486E">
        <w:rPr>
          <w:sz w:val="22"/>
          <w:szCs w:val="22"/>
        </w:rPr>
        <w:t>E</w:t>
      </w:r>
      <w:r w:rsidRPr="00EB486E">
        <w:rPr>
          <w:sz w:val="22"/>
          <w:szCs w:val="22"/>
          <w:vertAlign w:val="subscript"/>
        </w:rPr>
        <w:t>b</w:t>
      </w:r>
      <w:r w:rsidRPr="00EB486E">
        <w:rPr>
          <w:sz w:val="22"/>
          <w:szCs w:val="22"/>
        </w:rPr>
        <w:t xml:space="preserve"> = organic HAP or VOC emissions, in pounds, before the alternative application technique was implemented, as determined under paragraph (i)(2)(i) of this section.</w:t>
      </w:r>
    </w:p>
    <w:p w:rsidR="00EB486E" w:rsidRPr="00EB486E" w:rsidRDefault="00EB486E" w:rsidP="00EB486E">
      <w:pPr>
        <w:pStyle w:val="fp-2"/>
        <w:rPr>
          <w:sz w:val="22"/>
          <w:szCs w:val="22"/>
        </w:rPr>
      </w:pPr>
      <w:r w:rsidRPr="00EB486E">
        <w:rPr>
          <w:sz w:val="22"/>
          <w:szCs w:val="22"/>
        </w:rPr>
        <w:t>E</w:t>
      </w:r>
      <w:r w:rsidRPr="00EB486E">
        <w:rPr>
          <w:sz w:val="22"/>
          <w:szCs w:val="22"/>
          <w:vertAlign w:val="subscript"/>
        </w:rPr>
        <w:t>a</w:t>
      </w:r>
      <w:r w:rsidRPr="00EB486E">
        <w:rPr>
          <w:sz w:val="22"/>
          <w:szCs w:val="22"/>
        </w:rPr>
        <w:t xml:space="preserve"> = organic HAP of VOC emissions, in pounds, after the alternative application technique was implemented, as determined under paragraph (i)(2)(ii) of this section.</w:t>
      </w:r>
    </w:p>
    <w:p w:rsidR="00EB486E" w:rsidRPr="00EB486E" w:rsidRDefault="00EB486E" w:rsidP="00EB486E">
      <w:pPr>
        <w:pStyle w:val="NormalWeb"/>
        <w:rPr>
          <w:sz w:val="22"/>
          <w:szCs w:val="22"/>
        </w:rPr>
      </w:pPr>
      <w:r w:rsidRPr="00EB486E">
        <w:rPr>
          <w:sz w:val="22"/>
          <w:szCs w:val="22"/>
        </w:rPr>
        <w:t>(3) Each owner or operator seeking to demonstrate that an alternative application method achieves emission reductions equivalent to HVLP, electrostatic spray application methods, air-assisted airless application methods, or airless application methods shall comply with the following:</w:t>
      </w:r>
    </w:p>
    <w:p w:rsidR="00EB486E" w:rsidRPr="00EB486E" w:rsidRDefault="00EB486E" w:rsidP="00EB486E">
      <w:pPr>
        <w:pStyle w:val="NormalWeb"/>
        <w:rPr>
          <w:sz w:val="22"/>
          <w:szCs w:val="22"/>
        </w:rPr>
      </w:pPr>
      <w:r w:rsidRPr="00EB486E">
        <w:rPr>
          <w:sz w:val="22"/>
          <w:szCs w:val="22"/>
        </w:rPr>
        <w:t xml:space="preserve">(i) Each coating shall be applied such that the dried film thickness is within the range specified by the applicable specification(s) for the aerospace vehicle or component being coated. </w:t>
      </w:r>
    </w:p>
    <w:p w:rsidR="00EB486E" w:rsidRPr="00EB486E" w:rsidRDefault="00EB486E" w:rsidP="00EB486E">
      <w:pPr>
        <w:pStyle w:val="NormalWeb"/>
        <w:rPr>
          <w:sz w:val="22"/>
          <w:szCs w:val="22"/>
        </w:rPr>
      </w:pPr>
      <w:r w:rsidRPr="00EB486E">
        <w:rPr>
          <w:sz w:val="22"/>
          <w:szCs w:val="22"/>
        </w:rPr>
        <w:t xml:space="preserve">(ii) If no such dried film thickness specification(s) exists, the owner or operator shall ensure that the dried film thickness applied during the initial 30-day period is equivalent to the dried film thickness applied during the alternative application method test period for similar aerospace vehicles or components. </w:t>
      </w:r>
    </w:p>
    <w:p w:rsidR="00EB486E" w:rsidRPr="00EB486E" w:rsidRDefault="00EB486E" w:rsidP="00EB486E">
      <w:pPr>
        <w:pStyle w:val="NormalWeb"/>
        <w:rPr>
          <w:sz w:val="22"/>
          <w:szCs w:val="22"/>
        </w:rPr>
      </w:pPr>
      <w:r w:rsidRPr="00EB486E">
        <w:rPr>
          <w:sz w:val="22"/>
          <w:szCs w:val="22"/>
        </w:rPr>
        <w:t>(iii) Failure to comply with these dried film thickness requirements shall invalidate the test results obtained under paragraph (i)(2)(i) of this section.</w:t>
      </w:r>
    </w:p>
    <w:p w:rsidR="00EB486E" w:rsidRPr="00EB486E" w:rsidRDefault="00EB486E" w:rsidP="00EB486E">
      <w:pPr>
        <w:pStyle w:val="NormalWeb"/>
        <w:rPr>
          <w:sz w:val="22"/>
          <w:szCs w:val="22"/>
        </w:rPr>
      </w:pPr>
      <w:r w:rsidRPr="00EB486E">
        <w:rPr>
          <w:sz w:val="22"/>
          <w:szCs w:val="22"/>
        </w:rPr>
        <w:t xml:space="preserve">(j) </w:t>
      </w:r>
      <w:r w:rsidRPr="00EB486E">
        <w:rPr>
          <w:i/>
          <w:iCs/>
          <w:sz w:val="22"/>
          <w:szCs w:val="22"/>
        </w:rPr>
        <w:t>Spot stripping and decal removal.</w:t>
      </w:r>
      <w:r w:rsidRPr="00EB486E">
        <w:rPr>
          <w:sz w:val="22"/>
          <w:szCs w:val="22"/>
        </w:rPr>
        <w:t xml:space="preserve"> Each owner or operator seeking to comply with §63.746(b)(3) shall determine the volume of organic HAP-containing chemical strippers or alternatively the weight of organic HAP used per aircraft using the procedure specified in paragraphs (j)(1) through (j)(3) of this section.</w:t>
      </w:r>
    </w:p>
    <w:p w:rsidR="00EB486E" w:rsidRPr="00EB486E" w:rsidRDefault="00EB486E" w:rsidP="00EB486E">
      <w:pPr>
        <w:pStyle w:val="NormalWeb"/>
        <w:rPr>
          <w:sz w:val="22"/>
          <w:szCs w:val="22"/>
        </w:rPr>
      </w:pPr>
      <w:r w:rsidRPr="00EB486E">
        <w:rPr>
          <w:sz w:val="22"/>
          <w:szCs w:val="22"/>
        </w:rPr>
        <w:lastRenderedPageBreak/>
        <w:t>(1) For each chemical stripper used for spot stripping and decal removal, determine for each annual period the total volume as applied or the total weight of organic HAP using the procedure specified in paragraph (d)(2) of this section.</w:t>
      </w:r>
    </w:p>
    <w:p w:rsidR="00EB486E" w:rsidRPr="00EB486E" w:rsidRDefault="00EB486E" w:rsidP="00EB486E">
      <w:pPr>
        <w:pStyle w:val="NormalWeb"/>
        <w:rPr>
          <w:sz w:val="22"/>
          <w:szCs w:val="22"/>
        </w:rPr>
      </w:pPr>
      <w:r w:rsidRPr="00EB486E">
        <w:rPr>
          <w:sz w:val="22"/>
          <w:szCs w:val="22"/>
        </w:rPr>
        <w:t xml:space="preserve">(2) Determine the total number of aircraft for which depainting operations began during the annual period as determined from company records. </w:t>
      </w:r>
    </w:p>
    <w:p w:rsidR="00EB486E" w:rsidRPr="00EB486E" w:rsidRDefault="00EB486E" w:rsidP="00EB486E">
      <w:pPr>
        <w:pStyle w:val="NormalWeb"/>
        <w:rPr>
          <w:sz w:val="22"/>
          <w:szCs w:val="22"/>
        </w:rPr>
      </w:pPr>
      <w:r w:rsidRPr="00EB486E">
        <w:rPr>
          <w:sz w:val="22"/>
          <w:szCs w:val="22"/>
        </w:rPr>
        <w:t>(3) Calculate the annual average volume of organic HAP-containing chemical stripper or weight of organic HAP used for spot stripping and decal removal per aircraft using equation 20 (volume) or equation 21 (weight):</w:t>
      </w:r>
    </w:p>
    <w:p w:rsidR="00EB486E" w:rsidRPr="00EB486E" w:rsidRDefault="00EB486E" w:rsidP="00EB486E">
      <w:pPr>
        <w:rPr>
          <w:szCs w:val="22"/>
        </w:rPr>
      </w:pPr>
      <w:r w:rsidRPr="00EB486E">
        <w:rPr>
          <w:noProof/>
          <w:szCs w:val="22"/>
        </w:rPr>
        <w:drawing>
          <wp:inline distT="0" distB="0" distL="0" distR="0">
            <wp:extent cx="1503045" cy="612140"/>
            <wp:effectExtent l="0" t="0" r="1905" b="0"/>
            <wp:docPr id="31" name="Picture 31" descr="eCFR graphic er27mr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eCFR graphic er27mr98.004.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03045" cy="612140"/>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where:</w:t>
      </w:r>
    </w:p>
    <w:p w:rsidR="00EB486E" w:rsidRPr="00EB486E" w:rsidRDefault="00EB486E" w:rsidP="00EB486E">
      <w:pPr>
        <w:pStyle w:val="fp-2"/>
        <w:rPr>
          <w:sz w:val="22"/>
          <w:szCs w:val="22"/>
        </w:rPr>
      </w:pPr>
      <w:r w:rsidRPr="00EB486E">
        <w:rPr>
          <w:sz w:val="22"/>
          <w:szCs w:val="22"/>
        </w:rPr>
        <w:t>C = annual average volume (gal per aircraft) of organic HAP-containing chemical stripper used for spot stripping and decal removal.</w:t>
      </w:r>
    </w:p>
    <w:p w:rsidR="00EB486E" w:rsidRPr="00EB486E" w:rsidRDefault="00EB486E" w:rsidP="00EB486E">
      <w:pPr>
        <w:pStyle w:val="fp-2"/>
        <w:rPr>
          <w:sz w:val="22"/>
          <w:szCs w:val="22"/>
        </w:rPr>
      </w:pPr>
      <w:r w:rsidRPr="00EB486E">
        <w:rPr>
          <w:sz w:val="22"/>
          <w:szCs w:val="22"/>
        </w:rPr>
        <w:t>n = number of organic HAP-containing chemical strippers used in the annual period.</w:t>
      </w:r>
    </w:p>
    <w:p w:rsidR="00EB486E" w:rsidRPr="00EB486E" w:rsidRDefault="00EB486E" w:rsidP="00EB486E">
      <w:pPr>
        <w:pStyle w:val="fp-2"/>
        <w:rPr>
          <w:sz w:val="22"/>
          <w:szCs w:val="22"/>
        </w:rPr>
      </w:pPr>
      <w:r w:rsidRPr="00EB486E">
        <w:rPr>
          <w:sz w:val="22"/>
          <w:szCs w:val="22"/>
        </w:rPr>
        <w:t>V</w:t>
      </w:r>
      <w:r w:rsidRPr="00EB486E">
        <w:rPr>
          <w:sz w:val="22"/>
          <w:szCs w:val="22"/>
          <w:vertAlign w:val="subscript"/>
        </w:rPr>
        <w:t>si</w:t>
      </w:r>
      <w:r w:rsidRPr="00EB486E">
        <w:rPr>
          <w:sz w:val="22"/>
          <w:szCs w:val="22"/>
        </w:rPr>
        <w:t xml:space="preserve"> = volume (gal) of organic HAP-containing chemical stripper (i) used during the annual period.</w:t>
      </w:r>
    </w:p>
    <w:p w:rsidR="00EB486E" w:rsidRPr="00EB486E" w:rsidRDefault="00EB486E" w:rsidP="00EB486E">
      <w:pPr>
        <w:pStyle w:val="fp-2"/>
        <w:rPr>
          <w:sz w:val="22"/>
          <w:szCs w:val="22"/>
        </w:rPr>
      </w:pPr>
      <w:r w:rsidRPr="00EB486E">
        <w:rPr>
          <w:sz w:val="22"/>
          <w:szCs w:val="22"/>
        </w:rPr>
        <w:t>A = number of aircraft for which depainting operations began during the annual period.</w:t>
      </w:r>
    </w:p>
    <w:p w:rsidR="00EB486E" w:rsidRPr="00EB486E" w:rsidRDefault="00EB486E" w:rsidP="00EB486E">
      <w:pPr>
        <w:rPr>
          <w:szCs w:val="22"/>
        </w:rPr>
      </w:pPr>
      <w:r w:rsidRPr="00EB486E">
        <w:rPr>
          <w:noProof/>
          <w:szCs w:val="22"/>
        </w:rPr>
        <w:drawing>
          <wp:inline distT="0" distB="0" distL="0" distR="0">
            <wp:extent cx="2369185" cy="659765"/>
            <wp:effectExtent l="0" t="0" r="0" b="6985"/>
            <wp:docPr id="30" name="Picture 30" descr="eCFR graphic er27mr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eCFR graphic er27mr98.005.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69185" cy="659765"/>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where:</w:t>
      </w:r>
    </w:p>
    <w:p w:rsidR="00EB486E" w:rsidRPr="00EB486E" w:rsidRDefault="00EB486E" w:rsidP="00EB486E">
      <w:pPr>
        <w:pStyle w:val="fp-2"/>
        <w:rPr>
          <w:sz w:val="22"/>
          <w:szCs w:val="22"/>
        </w:rPr>
      </w:pPr>
      <w:r w:rsidRPr="00EB486E">
        <w:rPr>
          <w:sz w:val="22"/>
          <w:szCs w:val="22"/>
        </w:rPr>
        <w:t>C = annual average weight (lb per aircraft) of organic HAP (chemical stripper) used for spot stripping and decal removal.</w:t>
      </w:r>
    </w:p>
    <w:p w:rsidR="00EB486E" w:rsidRPr="00EB486E" w:rsidRDefault="00EB486E" w:rsidP="00EB486E">
      <w:pPr>
        <w:pStyle w:val="fp-2"/>
        <w:rPr>
          <w:sz w:val="22"/>
          <w:szCs w:val="22"/>
        </w:rPr>
      </w:pPr>
      <w:r w:rsidRPr="00EB486E">
        <w:rPr>
          <w:sz w:val="22"/>
          <w:szCs w:val="22"/>
        </w:rPr>
        <w:t>m = number of organic HAP contained in each chemical stripper, as applied.</w:t>
      </w:r>
    </w:p>
    <w:p w:rsidR="00EB486E" w:rsidRPr="00EB486E" w:rsidRDefault="00EB486E" w:rsidP="00EB486E">
      <w:pPr>
        <w:pStyle w:val="fp-2"/>
        <w:rPr>
          <w:sz w:val="22"/>
          <w:szCs w:val="22"/>
        </w:rPr>
      </w:pPr>
      <w:r w:rsidRPr="00EB486E">
        <w:rPr>
          <w:sz w:val="22"/>
          <w:szCs w:val="22"/>
        </w:rPr>
        <w:t>n = number of organic HAP-containing chemical strippers used in the annual period.</w:t>
      </w:r>
    </w:p>
    <w:p w:rsidR="00EB486E" w:rsidRPr="00EB486E" w:rsidRDefault="00EB486E" w:rsidP="00EB486E">
      <w:pPr>
        <w:pStyle w:val="fp-2"/>
        <w:rPr>
          <w:sz w:val="22"/>
          <w:szCs w:val="22"/>
        </w:rPr>
      </w:pPr>
      <w:r w:rsidRPr="00EB486E">
        <w:rPr>
          <w:sz w:val="22"/>
          <w:szCs w:val="22"/>
        </w:rPr>
        <w:t>W</w:t>
      </w:r>
      <w:r w:rsidRPr="00EB486E">
        <w:rPr>
          <w:sz w:val="22"/>
          <w:szCs w:val="22"/>
          <w:vertAlign w:val="subscript"/>
        </w:rPr>
        <w:t>hi</w:t>
      </w:r>
      <w:r w:rsidRPr="00EB486E">
        <w:rPr>
          <w:sz w:val="22"/>
          <w:szCs w:val="22"/>
        </w:rPr>
        <w:t xml:space="preserve"> = weight fraction (expressed as a decimal) of each organic HAP (i) contained in the chemical stripper, as applied, for each aircraft depainted.</w:t>
      </w:r>
    </w:p>
    <w:p w:rsidR="00EB486E" w:rsidRPr="00EB486E" w:rsidRDefault="00EB486E" w:rsidP="00EB486E">
      <w:pPr>
        <w:pStyle w:val="fp-2"/>
        <w:rPr>
          <w:sz w:val="22"/>
          <w:szCs w:val="22"/>
        </w:rPr>
      </w:pPr>
      <w:r w:rsidRPr="00EB486E">
        <w:rPr>
          <w:sz w:val="22"/>
          <w:szCs w:val="22"/>
        </w:rPr>
        <w:t>D</w:t>
      </w:r>
      <w:r w:rsidRPr="00EB486E">
        <w:rPr>
          <w:sz w:val="22"/>
          <w:szCs w:val="22"/>
          <w:vertAlign w:val="subscript"/>
        </w:rPr>
        <w:t>hi</w:t>
      </w:r>
      <w:r w:rsidRPr="00EB486E">
        <w:rPr>
          <w:sz w:val="22"/>
          <w:szCs w:val="22"/>
        </w:rPr>
        <w:t xml:space="preserve"> = density (lb/gal) of each organic HAP-containing chemical stripper (i), used in the annual period.</w:t>
      </w:r>
    </w:p>
    <w:p w:rsidR="00EB486E" w:rsidRPr="00EB486E" w:rsidRDefault="00EB486E" w:rsidP="00EB486E">
      <w:pPr>
        <w:pStyle w:val="fp-2"/>
        <w:rPr>
          <w:sz w:val="22"/>
          <w:szCs w:val="22"/>
        </w:rPr>
      </w:pPr>
      <w:r w:rsidRPr="00EB486E">
        <w:rPr>
          <w:sz w:val="22"/>
          <w:szCs w:val="22"/>
        </w:rPr>
        <w:t>V</w:t>
      </w:r>
      <w:r w:rsidRPr="00EB486E">
        <w:rPr>
          <w:sz w:val="22"/>
          <w:szCs w:val="22"/>
          <w:vertAlign w:val="subscript"/>
        </w:rPr>
        <w:t>si</w:t>
      </w:r>
      <w:r w:rsidRPr="00EB486E">
        <w:rPr>
          <w:sz w:val="22"/>
          <w:szCs w:val="22"/>
        </w:rPr>
        <w:t xml:space="preserve"> = volume (gal) of organic HAP-containing chemical stripper (i) used during the annual period.</w:t>
      </w:r>
    </w:p>
    <w:p w:rsidR="00EB486E" w:rsidRPr="00EB486E" w:rsidRDefault="00EB486E" w:rsidP="00EB486E">
      <w:pPr>
        <w:pStyle w:val="fp-2"/>
        <w:rPr>
          <w:sz w:val="22"/>
          <w:szCs w:val="22"/>
        </w:rPr>
      </w:pPr>
      <w:r w:rsidRPr="00EB486E">
        <w:rPr>
          <w:sz w:val="22"/>
          <w:szCs w:val="22"/>
        </w:rPr>
        <w:t>A = number of aircraft for which depainting operations began during the annual period.</w:t>
      </w:r>
    </w:p>
    <w:p w:rsidR="00EB486E" w:rsidRPr="00EB486E" w:rsidRDefault="00EB486E" w:rsidP="00EB486E">
      <w:pPr>
        <w:pStyle w:val="NormalWeb"/>
        <w:rPr>
          <w:sz w:val="22"/>
          <w:szCs w:val="22"/>
        </w:rPr>
      </w:pPr>
      <w:r w:rsidRPr="00EB486E">
        <w:rPr>
          <w:sz w:val="22"/>
          <w:szCs w:val="22"/>
        </w:rPr>
        <w:t xml:space="preserve">(k) </w:t>
      </w:r>
      <w:r w:rsidRPr="00EB486E">
        <w:rPr>
          <w:i/>
          <w:iCs/>
          <w:sz w:val="22"/>
          <w:szCs w:val="22"/>
        </w:rPr>
        <w:t>Organic HAP content level determination—compliant chemical milling maskants.</w:t>
      </w:r>
      <w:r w:rsidRPr="00EB486E">
        <w:rPr>
          <w:sz w:val="22"/>
          <w:szCs w:val="22"/>
        </w:rPr>
        <w:t xml:space="preserve"> For those uncontrolled chemical milling maskants complying with the chemical milling maskant organic HAP content limit specified in §63.747(c)(1) without being averaged, the procedure in paragraph (k)(1) of this section shall be used to determine </w:t>
      </w:r>
      <w:r w:rsidRPr="00EB486E">
        <w:rPr>
          <w:sz w:val="22"/>
          <w:szCs w:val="22"/>
        </w:rPr>
        <w:lastRenderedPageBreak/>
        <w:t>the mass of organic HAP emitted per unit volume of coating (chemical milling maskant) i as applied (less water), H</w:t>
      </w:r>
      <w:r w:rsidRPr="00EB486E">
        <w:rPr>
          <w:sz w:val="22"/>
          <w:szCs w:val="22"/>
          <w:vertAlign w:val="subscript"/>
        </w:rPr>
        <w:t>i</w:t>
      </w:r>
      <w:r w:rsidRPr="00EB486E">
        <w:rPr>
          <w:sz w:val="22"/>
          <w:szCs w:val="22"/>
        </w:rPr>
        <w:t xml:space="preserve"> (lb/gal). As an alternative to the procedures in paragraph (k)(1) of this section, an owner or operator may use coating manufacturer's supplied data to demonstrate that organic HAP emitted per volume of coating (less water), as applied, is less than or equal to the applicable organic HAP limit specified in §63.747(c). Owners and operators that use the coating manufacturer's supplied data to demonstrate compliance based on the HAP content of the coating may add non-HAP solvent to those coatings provided that the owner or operator also maintains records of the non-HAP solvent added to the coating.</w:t>
      </w:r>
    </w:p>
    <w:p w:rsidR="00EB486E" w:rsidRPr="00EB486E" w:rsidRDefault="00EB486E" w:rsidP="00EB486E">
      <w:pPr>
        <w:pStyle w:val="NormalWeb"/>
        <w:rPr>
          <w:sz w:val="22"/>
          <w:szCs w:val="22"/>
        </w:rPr>
      </w:pPr>
      <w:r w:rsidRPr="00EB486E">
        <w:rPr>
          <w:sz w:val="22"/>
          <w:szCs w:val="22"/>
        </w:rPr>
        <w:t>(1) For coatings that contain no exempt solvents, determine the total organic HAP content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w:t>
      </w:r>
    </w:p>
    <w:p w:rsidR="00EB486E" w:rsidRPr="00EB486E" w:rsidRDefault="00EB486E" w:rsidP="00EB486E">
      <w:pPr>
        <w:pStyle w:val="NormalWeb"/>
        <w:rPr>
          <w:sz w:val="22"/>
          <w:szCs w:val="22"/>
        </w:rPr>
      </w:pPr>
      <w:r w:rsidRPr="00EB486E">
        <w:rPr>
          <w:sz w:val="22"/>
          <w:szCs w:val="22"/>
        </w:rPr>
        <w:t xml:space="preserve">When Method 24 is used to determine the VOC content of water-reducible coatings, the precision adjustment factors in Reference Method 24 shall be used. If the adjusted analytical VOC content is less than the formulation solvent content, then the analytical VOC content should be set equal to the formulation solvent content. </w:t>
      </w:r>
    </w:p>
    <w:p w:rsidR="00EB486E" w:rsidRPr="00EB486E" w:rsidRDefault="00EB486E" w:rsidP="00EB486E">
      <w:pPr>
        <w:pStyle w:val="NormalWeb"/>
        <w:rPr>
          <w:sz w:val="22"/>
          <w:szCs w:val="22"/>
        </w:rPr>
      </w:pPr>
      <w:r w:rsidRPr="00EB486E">
        <w:rPr>
          <w:sz w:val="22"/>
          <w:szCs w:val="22"/>
        </w:rPr>
        <w:t>(2) [Reserved]</w:t>
      </w:r>
    </w:p>
    <w:p w:rsidR="00EB486E" w:rsidRPr="00EB486E" w:rsidRDefault="00EB486E" w:rsidP="00EB486E">
      <w:pPr>
        <w:pStyle w:val="NormalWeb"/>
        <w:rPr>
          <w:sz w:val="22"/>
          <w:szCs w:val="22"/>
        </w:rPr>
      </w:pPr>
      <w:r w:rsidRPr="00EB486E">
        <w:rPr>
          <w:sz w:val="22"/>
          <w:szCs w:val="22"/>
        </w:rPr>
        <w:t xml:space="preserve">(l) </w:t>
      </w:r>
      <w:r w:rsidRPr="00EB486E">
        <w:rPr>
          <w:i/>
          <w:iCs/>
          <w:sz w:val="22"/>
          <w:szCs w:val="22"/>
        </w:rPr>
        <w:t>Organic HAP content level determination—averaged chemical milling maskants.</w:t>
      </w:r>
      <w:r w:rsidRPr="00EB486E">
        <w:rPr>
          <w:sz w:val="22"/>
          <w:szCs w:val="22"/>
        </w:rPr>
        <w:t xml:space="preserve"> For those uncontrolled chemical milling maskants that are averaged together in order to comply with the chemical milling maskant organic HAP content level specified in §63.747(c)(1), the procedure specified in paragraphs (l)(1) through (l)(4) of this section shall be used to determine the monthly volume-weighted average mass of organic HAP emitted per volume of chemical milling maskant (less water) as applied, unless the permitting agency specifies a shorter averaging period as part of an ambient ozone control program. </w:t>
      </w:r>
    </w:p>
    <w:p w:rsidR="00EB486E" w:rsidRPr="00EB486E" w:rsidRDefault="00EB486E" w:rsidP="00EB486E">
      <w:pPr>
        <w:pStyle w:val="NormalWeb"/>
        <w:rPr>
          <w:sz w:val="22"/>
          <w:szCs w:val="22"/>
        </w:rPr>
      </w:pPr>
      <w:r w:rsidRPr="00EB486E">
        <w:rPr>
          <w:sz w:val="22"/>
          <w:szCs w:val="22"/>
        </w:rPr>
        <w:t xml:space="preserve">(1) Determine the total organic HAP weight fraction as applied of each chemical milling maskant used during each 30-day period using the procedure specified in paragraph (d)(1) of this section. </w:t>
      </w:r>
    </w:p>
    <w:p w:rsidR="00EB486E" w:rsidRPr="00EB486E" w:rsidRDefault="00EB486E" w:rsidP="00EB486E">
      <w:pPr>
        <w:pStyle w:val="NormalWeb"/>
        <w:rPr>
          <w:sz w:val="22"/>
          <w:szCs w:val="22"/>
        </w:rPr>
      </w:pPr>
      <w:r w:rsidRPr="00EB486E">
        <w:rPr>
          <w:sz w:val="22"/>
          <w:szCs w:val="22"/>
        </w:rPr>
        <w:t xml:space="preserve">(2) Determine for each 30-day period: </w:t>
      </w:r>
    </w:p>
    <w:p w:rsidR="00EB486E" w:rsidRPr="00EB486E" w:rsidRDefault="00EB486E" w:rsidP="00EB486E">
      <w:pPr>
        <w:pStyle w:val="NormalWeb"/>
        <w:rPr>
          <w:sz w:val="22"/>
          <w:szCs w:val="22"/>
        </w:rPr>
      </w:pPr>
      <w:r w:rsidRPr="00EB486E">
        <w:rPr>
          <w:sz w:val="22"/>
          <w:szCs w:val="22"/>
        </w:rPr>
        <w:t xml:space="preserve">(i) The individual volume of each chemical milling maskant applied in terms of total gallons (less water) (using the procedure specified in paragraph (d)(2) of this section), and </w:t>
      </w:r>
    </w:p>
    <w:p w:rsidR="00EB486E" w:rsidRPr="00EB486E" w:rsidRDefault="00EB486E" w:rsidP="00EB486E">
      <w:pPr>
        <w:pStyle w:val="NormalWeb"/>
        <w:rPr>
          <w:sz w:val="22"/>
          <w:szCs w:val="22"/>
        </w:rPr>
      </w:pPr>
      <w:r w:rsidRPr="00EB486E">
        <w:rPr>
          <w:sz w:val="22"/>
          <w:szCs w:val="22"/>
        </w:rPr>
        <w:t xml:space="preserve">(ii) The total volume in gallons of all chemical milling maskants (less water) as applied by summing the individual volumes of each chemical milling maskant as applied (less water). </w:t>
      </w:r>
    </w:p>
    <w:p w:rsidR="00EB486E" w:rsidRPr="00EB486E" w:rsidRDefault="00EB486E" w:rsidP="00EB486E">
      <w:pPr>
        <w:pStyle w:val="NormalWeb"/>
        <w:rPr>
          <w:sz w:val="22"/>
          <w:szCs w:val="22"/>
        </w:rPr>
      </w:pPr>
      <w:r w:rsidRPr="00EB486E">
        <w:rPr>
          <w:sz w:val="22"/>
          <w:szCs w:val="22"/>
        </w:rPr>
        <w:t xml:space="preserve">(3) Determine the density of each chemical milling maskant as applied used during each 30-day period using the procedure specified in paragraph (d)(3) of this section. </w:t>
      </w:r>
    </w:p>
    <w:p w:rsidR="00EB486E" w:rsidRPr="00EB486E" w:rsidRDefault="00EB486E" w:rsidP="00EB486E">
      <w:pPr>
        <w:pStyle w:val="NormalWeb"/>
        <w:rPr>
          <w:sz w:val="22"/>
          <w:szCs w:val="22"/>
        </w:rPr>
      </w:pPr>
      <w:r w:rsidRPr="00EB486E">
        <w:rPr>
          <w:sz w:val="22"/>
          <w:szCs w:val="22"/>
        </w:rPr>
        <w:t>(4) Calculate the volume-weighted average mass of organic HAP emitted per unit volume (lb/gal) of chemical milling maskant (less water) as applied for all chemical milling maskants during each 30-day period using equation 22:</w:t>
      </w:r>
    </w:p>
    <w:p w:rsidR="00EB486E" w:rsidRPr="00EB486E" w:rsidRDefault="00EB486E" w:rsidP="00EB486E">
      <w:pPr>
        <w:rPr>
          <w:szCs w:val="22"/>
        </w:rPr>
      </w:pPr>
      <w:r w:rsidRPr="00EB486E">
        <w:rPr>
          <w:noProof/>
          <w:szCs w:val="22"/>
        </w:rPr>
        <w:lastRenderedPageBreak/>
        <w:drawing>
          <wp:inline distT="0" distB="0" distL="0" distR="0">
            <wp:extent cx="2027555" cy="643890"/>
            <wp:effectExtent l="0" t="0" r="0" b="3810"/>
            <wp:docPr id="29" name="Picture 29" descr="eCFR graphic er27mr98.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eCFR graphic er27mr98.006.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27555" cy="643890"/>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where:</w:t>
      </w:r>
    </w:p>
    <w:p w:rsidR="00EB486E" w:rsidRPr="00EB486E" w:rsidRDefault="00EB486E" w:rsidP="00EB486E">
      <w:pPr>
        <w:pStyle w:val="fp-2"/>
        <w:rPr>
          <w:sz w:val="22"/>
          <w:szCs w:val="22"/>
        </w:rPr>
      </w:pPr>
      <w:r w:rsidRPr="00EB486E">
        <w:rPr>
          <w:sz w:val="22"/>
          <w:szCs w:val="22"/>
        </w:rPr>
        <w:t>H</w:t>
      </w:r>
      <w:r w:rsidRPr="00EB486E">
        <w:rPr>
          <w:sz w:val="22"/>
          <w:szCs w:val="22"/>
          <w:vertAlign w:val="subscript"/>
        </w:rPr>
        <w:t>a</w:t>
      </w:r>
      <w:r w:rsidRPr="00EB486E">
        <w:rPr>
          <w:sz w:val="22"/>
          <w:szCs w:val="22"/>
        </w:rPr>
        <w:t xml:space="preserve"> = volume-weighted mass of organic HAP emitted per unit volume of chemical milling maskants (lb/gal) (less water) as applied during each 30-day period for those chemical milling maskants being averaged. </w:t>
      </w:r>
    </w:p>
    <w:p w:rsidR="00EB486E" w:rsidRPr="00EB486E" w:rsidRDefault="00EB486E" w:rsidP="00EB486E">
      <w:pPr>
        <w:pStyle w:val="fp-2"/>
        <w:rPr>
          <w:sz w:val="22"/>
          <w:szCs w:val="22"/>
        </w:rPr>
      </w:pPr>
      <w:r w:rsidRPr="00EB486E">
        <w:rPr>
          <w:sz w:val="22"/>
          <w:szCs w:val="22"/>
        </w:rPr>
        <w:t xml:space="preserve">n = number of chemical milling maskants being averaged. </w:t>
      </w:r>
    </w:p>
    <w:p w:rsidR="00EB486E" w:rsidRPr="00EB486E" w:rsidRDefault="00EB486E" w:rsidP="00EB486E">
      <w:pPr>
        <w:pStyle w:val="fp-2"/>
        <w:rPr>
          <w:sz w:val="22"/>
          <w:szCs w:val="22"/>
        </w:rPr>
      </w:pPr>
      <w:r w:rsidRPr="00EB486E">
        <w:rPr>
          <w:sz w:val="22"/>
          <w:szCs w:val="22"/>
        </w:rPr>
        <w:t>W</w:t>
      </w:r>
      <w:r w:rsidRPr="00EB486E">
        <w:rPr>
          <w:sz w:val="22"/>
          <w:szCs w:val="22"/>
          <w:vertAlign w:val="subscript"/>
        </w:rPr>
        <w:t>Hi</w:t>
      </w:r>
      <w:r w:rsidRPr="00EB486E">
        <w:rPr>
          <w:sz w:val="22"/>
          <w:szCs w:val="22"/>
        </w:rPr>
        <w:t xml:space="preserve"> = weight fraction (expressed as a decimal) of organic HAP in chemical milling maskant i (less water) as applied during each 30-day period that is averaged. </w:t>
      </w:r>
    </w:p>
    <w:p w:rsidR="00EB486E" w:rsidRPr="00EB486E" w:rsidRDefault="00EB486E" w:rsidP="00EB486E">
      <w:pPr>
        <w:pStyle w:val="fp-2"/>
        <w:rPr>
          <w:sz w:val="22"/>
          <w:szCs w:val="22"/>
        </w:rPr>
      </w:pPr>
      <w:r w:rsidRPr="00EB486E">
        <w:rPr>
          <w:sz w:val="22"/>
          <w:szCs w:val="22"/>
        </w:rPr>
        <w:t>D</w:t>
      </w:r>
      <w:r w:rsidRPr="00EB486E">
        <w:rPr>
          <w:sz w:val="22"/>
          <w:szCs w:val="22"/>
          <w:vertAlign w:val="subscript"/>
        </w:rPr>
        <w:t>mi</w:t>
      </w:r>
      <w:r w:rsidRPr="00EB486E">
        <w:rPr>
          <w:sz w:val="22"/>
          <w:szCs w:val="22"/>
        </w:rPr>
        <w:t xml:space="preserve"> = density (lb chemical milling maskant per gal coating) of chemical milling maskant i as applied during each 30-day period that is averaged. </w:t>
      </w:r>
    </w:p>
    <w:p w:rsidR="00EB486E" w:rsidRPr="00EB486E" w:rsidRDefault="00EB486E" w:rsidP="00EB486E">
      <w:pPr>
        <w:pStyle w:val="fp-2"/>
        <w:rPr>
          <w:sz w:val="22"/>
          <w:szCs w:val="22"/>
        </w:rPr>
      </w:pPr>
      <w:r w:rsidRPr="00EB486E">
        <w:rPr>
          <w:sz w:val="22"/>
          <w:szCs w:val="22"/>
        </w:rPr>
        <w:t>V</w:t>
      </w:r>
      <w:r w:rsidRPr="00EB486E">
        <w:rPr>
          <w:sz w:val="22"/>
          <w:szCs w:val="22"/>
          <w:vertAlign w:val="subscript"/>
        </w:rPr>
        <w:t>mi</w:t>
      </w:r>
      <w:r w:rsidRPr="00EB486E">
        <w:rPr>
          <w:sz w:val="22"/>
          <w:szCs w:val="22"/>
        </w:rPr>
        <w:t xml:space="preserve"> = volume (gal) of chemical milling maskant i (less water) as applied during the 30-day period that is averaged. </w:t>
      </w:r>
    </w:p>
    <w:p w:rsidR="00EB486E" w:rsidRPr="00EB486E" w:rsidRDefault="00EB486E" w:rsidP="00EB486E">
      <w:pPr>
        <w:pStyle w:val="fp-2"/>
        <w:rPr>
          <w:sz w:val="22"/>
          <w:szCs w:val="22"/>
        </w:rPr>
      </w:pPr>
      <w:r w:rsidRPr="00EB486E">
        <w:rPr>
          <w:sz w:val="22"/>
          <w:szCs w:val="22"/>
        </w:rPr>
        <w:t>M</w:t>
      </w:r>
      <w:r w:rsidRPr="00EB486E">
        <w:rPr>
          <w:sz w:val="22"/>
          <w:szCs w:val="22"/>
          <w:vertAlign w:val="subscript"/>
        </w:rPr>
        <w:t>lw</w:t>
      </w:r>
      <w:r w:rsidRPr="00EB486E">
        <w:rPr>
          <w:sz w:val="22"/>
          <w:szCs w:val="22"/>
        </w:rPr>
        <w:t xml:space="preserve"> = total volume (gal) of all chemical milling maskants (less water) as applied during each 30-day period that is averaged.</w:t>
      </w:r>
    </w:p>
    <w:p w:rsidR="00EB486E" w:rsidRPr="00EB486E" w:rsidRDefault="00EB486E" w:rsidP="00EB486E">
      <w:pPr>
        <w:pStyle w:val="NormalWeb"/>
        <w:rPr>
          <w:sz w:val="22"/>
          <w:szCs w:val="22"/>
        </w:rPr>
      </w:pPr>
      <w:r w:rsidRPr="00EB486E">
        <w:rPr>
          <w:sz w:val="22"/>
          <w:szCs w:val="22"/>
        </w:rPr>
        <w:t xml:space="preserve">(m) </w:t>
      </w:r>
      <w:r w:rsidRPr="00EB486E">
        <w:rPr>
          <w:i/>
          <w:iCs/>
          <w:sz w:val="22"/>
          <w:szCs w:val="22"/>
        </w:rPr>
        <w:t>VOC content level determination—compliant chemical milling maskants.</w:t>
      </w:r>
      <w:r w:rsidRPr="00EB486E">
        <w:rPr>
          <w:sz w:val="22"/>
          <w:szCs w:val="22"/>
        </w:rPr>
        <w:t xml:space="preserve"> For those uncontrolled chemical milling maskants complying with the chemical milling maskant VOC content limit specified in §63.747(c)(2) without being averaged, the procedure specified in paragraphs (m)(1) and (2) of this section shall be used to determine the mass of VOC emitted per volume of chemical milling maskant (less water and exempt solvents) as applied. As an alternative to the procedures in paragraphs (m)(1) and (2) of this section, an owner or operator may use coating manufacturer's supplied data to demonstrate that VOC emitted per volume of coating (less water and exempt solvents), as applied, is less than or equal to the applicable VOC limit specified in §63.747(c).</w:t>
      </w:r>
    </w:p>
    <w:p w:rsidR="00EB486E" w:rsidRPr="00EB486E" w:rsidRDefault="00EB486E" w:rsidP="00EB486E">
      <w:pPr>
        <w:pStyle w:val="NormalWeb"/>
        <w:rPr>
          <w:sz w:val="22"/>
          <w:szCs w:val="22"/>
        </w:rPr>
      </w:pPr>
      <w:r w:rsidRPr="00EB486E">
        <w:rPr>
          <w:sz w:val="22"/>
          <w:szCs w:val="22"/>
        </w:rPr>
        <w:t>(1) Determine the mass of VOC emitted per unit volume of chemical milling maskant (lb/gal) (less water and exempt solvents) as applied, G</w:t>
      </w:r>
      <w:r w:rsidRPr="00EB486E">
        <w:rPr>
          <w:sz w:val="22"/>
          <w:szCs w:val="22"/>
          <w:vertAlign w:val="subscript"/>
        </w:rPr>
        <w:t>i</w:t>
      </w:r>
      <w:r w:rsidRPr="00EB486E">
        <w:rPr>
          <w:sz w:val="22"/>
          <w:szCs w:val="22"/>
        </w:rPr>
        <w:t xml:space="preserve">, for each chemical milling maskant using the procedures specified in paragraphs (e)(1) and (e)(2) of this section. </w:t>
      </w:r>
    </w:p>
    <w:p w:rsidR="00EB486E" w:rsidRPr="00EB486E" w:rsidRDefault="00EB486E" w:rsidP="00EB486E">
      <w:pPr>
        <w:pStyle w:val="NormalWeb"/>
        <w:rPr>
          <w:sz w:val="22"/>
          <w:szCs w:val="22"/>
        </w:rPr>
      </w:pPr>
      <w:r w:rsidRPr="00EB486E">
        <w:rPr>
          <w:sz w:val="22"/>
          <w:szCs w:val="22"/>
        </w:rPr>
        <w:t>(2)(i) If the VOC content is found to be different when EPA Method 24 is used during an enforcement inspection from that used by the owner or operator in calculating G</w:t>
      </w:r>
      <w:r w:rsidRPr="00EB486E">
        <w:rPr>
          <w:sz w:val="22"/>
          <w:szCs w:val="22"/>
          <w:vertAlign w:val="subscript"/>
        </w:rPr>
        <w:t>i</w:t>
      </w:r>
      <w:r w:rsidRPr="00EB486E">
        <w:rPr>
          <w:sz w:val="22"/>
          <w:szCs w:val="22"/>
        </w:rPr>
        <w:t xml:space="preserve">, compliance shall be based, except as provided in paragraph (m)(2)(ii) of this section, upon the VOC content obtained using EPA Method 24. </w:t>
      </w:r>
    </w:p>
    <w:p w:rsidR="00EB486E" w:rsidRPr="00EB486E" w:rsidRDefault="00EB486E" w:rsidP="00EB486E">
      <w:pPr>
        <w:pStyle w:val="NormalWeb"/>
        <w:rPr>
          <w:sz w:val="22"/>
          <w:szCs w:val="22"/>
        </w:rPr>
      </w:pPr>
      <w:r w:rsidRPr="00EB486E">
        <w:rPr>
          <w:sz w:val="22"/>
          <w:szCs w:val="22"/>
        </w:rPr>
        <w:t>(ii) If the VOC content of a chemical milling maskant obtained using EPA Method 24 would indicate noncompliance as determined under §63.749(h)(3)(i), an owner or operator may elect to average the chemical milling maskant with other uncontrolled chemical milling maskants and (re)calculate G</w:t>
      </w:r>
      <w:r w:rsidRPr="00EB486E">
        <w:rPr>
          <w:sz w:val="22"/>
          <w:szCs w:val="22"/>
          <w:vertAlign w:val="subscript"/>
        </w:rPr>
        <w:t>a</w:t>
      </w:r>
      <w:r w:rsidRPr="00EB486E">
        <w:rPr>
          <w:sz w:val="22"/>
          <w:szCs w:val="22"/>
        </w:rPr>
        <w:t xml:space="preserve"> (using the procedure specified in paragraph (n) of this section), provided appropriate and sufficient records were maintained for all chemical milling maskants included in the average recalculation. The (re)calculated value of G</w:t>
      </w:r>
      <w:r w:rsidRPr="00EB486E">
        <w:rPr>
          <w:sz w:val="22"/>
          <w:szCs w:val="22"/>
          <w:vertAlign w:val="subscript"/>
        </w:rPr>
        <w:t>a</w:t>
      </w:r>
      <w:r w:rsidRPr="00EB486E">
        <w:rPr>
          <w:sz w:val="22"/>
          <w:szCs w:val="22"/>
        </w:rPr>
        <w:t xml:space="preserve"> for the averaged chemical milling maskants shall then be used to determine compliance. </w:t>
      </w:r>
    </w:p>
    <w:p w:rsidR="00EB486E" w:rsidRPr="00EB486E" w:rsidRDefault="00EB486E" w:rsidP="00EB486E">
      <w:pPr>
        <w:pStyle w:val="NormalWeb"/>
        <w:rPr>
          <w:sz w:val="22"/>
          <w:szCs w:val="22"/>
        </w:rPr>
      </w:pPr>
      <w:r w:rsidRPr="00EB486E">
        <w:rPr>
          <w:sz w:val="22"/>
          <w:szCs w:val="22"/>
        </w:rPr>
        <w:t xml:space="preserve">(n) </w:t>
      </w:r>
      <w:r w:rsidRPr="00EB486E">
        <w:rPr>
          <w:i/>
          <w:iCs/>
          <w:sz w:val="22"/>
          <w:szCs w:val="22"/>
        </w:rPr>
        <w:t>VOC content level determination—averaged chemical milling maskants.</w:t>
      </w:r>
      <w:r w:rsidRPr="00EB486E">
        <w:rPr>
          <w:sz w:val="22"/>
          <w:szCs w:val="22"/>
        </w:rPr>
        <w:t xml:space="preserve"> For those uncontrolled chemical milling maskants that are averaged together in order to comply with the chemical milling maskant VOC content </w:t>
      </w:r>
      <w:r w:rsidRPr="00EB486E">
        <w:rPr>
          <w:sz w:val="22"/>
          <w:szCs w:val="22"/>
        </w:rPr>
        <w:lastRenderedPageBreak/>
        <w:t xml:space="preserve">limit specified in §63.747(c)(2), the procedure specified in paragraphs (n)(1) through (n)(4) of this section shall be used to determine the monthly volume-weighted average mass of VOC emitted per volume of chemical milling maskant (less water and exempt solvents) as applied, unless the permitting agency specifies a shorter averaging period as part of an ambient ozone control program. </w:t>
      </w:r>
    </w:p>
    <w:p w:rsidR="00EB486E" w:rsidRPr="00EB486E" w:rsidRDefault="00EB486E" w:rsidP="00EB486E">
      <w:pPr>
        <w:pStyle w:val="NormalWeb"/>
        <w:rPr>
          <w:sz w:val="22"/>
          <w:szCs w:val="22"/>
        </w:rPr>
      </w:pPr>
      <w:r w:rsidRPr="00EB486E">
        <w:rPr>
          <w:sz w:val="22"/>
          <w:szCs w:val="22"/>
        </w:rPr>
        <w:t xml:space="preserve">(1) Determine the VOC content of each chemical milling maskant (less water and exempt solvents) as applied used during each 30-day period using the procedure specified in paragraph (f)(1) of this section. </w:t>
      </w:r>
    </w:p>
    <w:p w:rsidR="00EB486E" w:rsidRPr="00EB486E" w:rsidRDefault="00EB486E" w:rsidP="00EB486E">
      <w:pPr>
        <w:pStyle w:val="NormalWeb"/>
        <w:rPr>
          <w:sz w:val="22"/>
          <w:szCs w:val="22"/>
        </w:rPr>
      </w:pPr>
      <w:r w:rsidRPr="00EB486E">
        <w:rPr>
          <w:sz w:val="22"/>
          <w:szCs w:val="22"/>
        </w:rPr>
        <w:t xml:space="preserve">(2)(i) Determine the individual volume of each chemical milling maskant applied in terms of total gallons (less water and exempt solvents) using the procedure specified in paragraph (f)(2) of this section, and </w:t>
      </w:r>
    </w:p>
    <w:p w:rsidR="00EB486E" w:rsidRPr="00EB486E" w:rsidRDefault="00EB486E" w:rsidP="00EB486E">
      <w:pPr>
        <w:pStyle w:val="NormalWeb"/>
        <w:rPr>
          <w:sz w:val="22"/>
          <w:szCs w:val="22"/>
        </w:rPr>
      </w:pPr>
      <w:r w:rsidRPr="00EB486E">
        <w:rPr>
          <w:sz w:val="22"/>
          <w:szCs w:val="22"/>
        </w:rPr>
        <w:t xml:space="preserve">(ii) Calculate the total volume in gallons of all chemical milling maskants (less water and exempt solvents) as applied by summing the individual volumes of each chemical milling maskant (less water and exempt solvents) as applied. </w:t>
      </w:r>
    </w:p>
    <w:p w:rsidR="00EB486E" w:rsidRPr="00EB486E" w:rsidRDefault="00EB486E" w:rsidP="00EB486E">
      <w:pPr>
        <w:pStyle w:val="NormalWeb"/>
        <w:rPr>
          <w:sz w:val="22"/>
          <w:szCs w:val="22"/>
        </w:rPr>
      </w:pPr>
      <w:r w:rsidRPr="00EB486E">
        <w:rPr>
          <w:sz w:val="22"/>
          <w:szCs w:val="22"/>
        </w:rPr>
        <w:t>(3) Calculate the volume-weighted average mass of VOC emitted per unit volume (lb/gal) of chemical milling maskant (less water and exempt solvents) as applied during each 30-day period using equation 23:</w:t>
      </w:r>
    </w:p>
    <w:p w:rsidR="00EB486E" w:rsidRPr="00EB486E" w:rsidRDefault="00EB486E" w:rsidP="00EB486E">
      <w:pPr>
        <w:rPr>
          <w:szCs w:val="22"/>
        </w:rPr>
      </w:pPr>
      <w:r w:rsidRPr="00EB486E">
        <w:rPr>
          <w:noProof/>
          <w:szCs w:val="22"/>
        </w:rPr>
        <w:drawing>
          <wp:inline distT="0" distB="0" distL="0" distR="0">
            <wp:extent cx="2106930" cy="643890"/>
            <wp:effectExtent l="0" t="0" r="7620" b="3810"/>
            <wp:docPr id="28" name="Picture 28" descr="eCFR graphic er27mr9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eCFR graphic er27mr98.007.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06930" cy="643890"/>
                    </a:xfrm>
                    <a:prstGeom prst="rect">
                      <a:avLst/>
                    </a:prstGeom>
                    <a:noFill/>
                    <a:ln>
                      <a:noFill/>
                    </a:ln>
                  </pic:spPr>
                </pic:pic>
              </a:graphicData>
            </a:graphic>
          </wp:inline>
        </w:drawing>
      </w:r>
    </w:p>
    <w:p w:rsidR="00EB486E" w:rsidRPr="00EB486E" w:rsidRDefault="00EB486E" w:rsidP="00EB486E">
      <w:pPr>
        <w:pStyle w:val="fp"/>
        <w:rPr>
          <w:sz w:val="22"/>
          <w:szCs w:val="22"/>
        </w:rPr>
      </w:pPr>
      <w:r w:rsidRPr="00EB486E">
        <w:rPr>
          <w:sz w:val="22"/>
          <w:szCs w:val="22"/>
        </w:rPr>
        <w:t xml:space="preserve">where: </w:t>
      </w:r>
    </w:p>
    <w:p w:rsidR="00EB486E" w:rsidRPr="00EB486E" w:rsidRDefault="00EB486E" w:rsidP="00EB486E">
      <w:pPr>
        <w:pStyle w:val="fp-2"/>
        <w:rPr>
          <w:sz w:val="22"/>
          <w:szCs w:val="22"/>
        </w:rPr>
      </w:pPr>
      <w:r w:rsidRPr="00EB486E">
        <w:rPr>
          <w:sz w:val="22"/>
          <w:szCs w:val="22"/>
        </w:rPr>
        <w:t>G</w:t>
      </w:r>
      <w:r w:rsidRPr="00EB486E">
        <w:rPr>
          <w:sz w:val="22"/>
          <w:szCs w:val="22"/>
          <w:vertAlign w:val="subscript"/>
        </w:rPr>
        <w:t>a</w:t>
      </w:r>
      <w:r w:rsidRPr="00EB486E">
        <w:rPr>
          <w:sz w:val="22"/>
          <w:szCs w:val="22"/>
        </w:rPr>
        <w:t xml:space="preserve"> = volume-weighted average mass of VOC per unit volume of chemical milling maskant (lb/gal) (less water and exempt solvents) as applied during each 30-day period for those chemical milling maskants that are averaged. </w:t>
      </w:r>
    </w:p>
    <w:p w:rsidR="00EB486E" w:rsidRPr="00EB486E" w:rsidRDefault="00EB486E" w:rsidP="00EB486E">
      <w:pPr>
        <w:pStyle w:val="fp-2"/>
        <w:rPr>
          <w:sz w:val="22"/>
          <w:szCs w:val="22"/>
        </w:rPr>
      </w:pPr>
      <w:r w:rsidRPr="00EB486E">
        <w:rPr>
          <w:sz w:val="22"/>
          <w:szCs w:val="22"/>
        </w:rPr>
        <w:t xml:space="preserve">n = number of chemical milling maskants being averaged. </w:t>
      </w:r>
    </w:p>
    <w:p w:rsidR="00EB486E" w:rsidRPr="00EB486E" w:rsidRDefault="00EB486E" w:rsidP="00EB486E">
      <w:pPr>
        <w:pStyle w:val="fp-2"/>
        <w:rPr>
          <w:sz w:val="22"/>
          <w:szCs w:val="22"/>
        </w:rPr>
      </w:pPr>
      <w:r w:rsidRPr="00EB486E">
        <w:rPr>
          <w:sz w:val="22"/>
          <w:szCs w:val="22"/>
        </w:rPr>
        <w:t>(VOC)</w:t>
      </w:r>
      <w:r w:rsidRPr="00EB486E">
        <w:rPr>
          <w:sz w:val="22"/>
          <w:szCs w:val="22"/>
          <w:vertAlign w:val="subscript"/>
        </w:rPr>
        <w:t>mi</w:t>
      </w:r>
      <w:r w:rsidRPr="00EB486E">
        <w:rPr>
          <w:sz w:val="22"/>
          <w:szCs w:val="22"/>
        </w:rPr>
        <w:t xml:space="preserve"> = VOC content (lb/gal) of chemical milling maskant i (less water and exempt solvents) as applied during the 30-day period that is averaged. </w:t>
      </w:r>
    </w:p>
    <w:p w:rsidR="00EB486E" w:rsidRPr="00EB486E" w:rsidRDefault="00EB486E" w:rsidP="00EB486E">
      <w:pPr>
        <w:pStyle w:val="fp-2"/>
        <w:rPr>
          <w:sz w:val="22"/>
          <w:szCs w:val="22"/>
        </w:rPr>
      </w:pPr>
      <w:r w:rsidRPr="00EB486E">
        <w:rPr>
          <w:sz w:val="22"/>
          <w:szCs w:val="22"/>
        </w:rPr>
        <w:t>V</w:t>
      </w:r>
      <w:r w:rsidRPr="00EB486E">
        <w:rPr>
          <w:sz w:val="22"/>
          <w:szCs w:val="22"/>
          <w:vertAlign w:val="subscript"/>
        </w:rPr>
        <w:t>mi</w:t>
      </w:r>
      <w:r w:rsidRPr="00EB486E">
        <w:rPr>
          <w:sz w:val="22"/>
          <w:szCs w:val="22"/>
        </w:rPr>
        <w:t xml:space="preserve"> = volume (gal) of chemical milling maskant i (less water and exempt solvents) as applied during the 30-day period that is averaged. </w:t>
      </w:r>
    </w:p>
    <w:p w:rsidR="00EB486E" w:rsidRPr="00EB486E" w:rsidRDefault="00EB486E" w:rsidP="00EB486E">
      <w:pPr>
        <w:pStyle w:val="fp-2"/>
        <w:rPr>
          <w:sz w:val="22"/>
          <w:szCs w:val="22"/>
        </w:rPr>
      </w:pPr>
      <w:r w:rsidRPr="00EB486E">
        <w:rPr>
          <w:sz w:val="22"/>
          <w:szCs w:val="22"/>
        </w:rPr>
        <w:t>M</w:t>
      </w:r>
      <w:r w:rsidRPr="00EB486E">
        <w:rPr>
          <w:sz w:val="22"/>
          <w:szCs w:val="22"/>
          <w:vertAlign w:val="subscript"/>
        </w:rPr>
        <w:t>lwes</w:t>
      </w:r>
      <w:r w:rsidRPr="00EB486E">
        <w:rPr>
          <w:sz w:val="22"/>
          <w:szCs w:val="22"/>
        </w:rPr>
        <w:t xml:space="preserve"> = total volume (gal) of all chemical milling maskants (less water and exempt solvents) as applied during each 30-day period that is averaged.</w:t>
      </w:r>
    </w:p>
    <w:p w:rsidR="00EB486E" w:rsidRPr="00EB486E" w:rsidRDefault="00EB486E" w:rsidP="00EB486E">
      <w:pPr>
        <w:pStyle w:val="NormalWeb"/>
        <w:rPr>
          <w:sz w:val="22"/>
          <w:szCs w:val="22"/>
        </w:rPr>
      </w:pPr>
      <w:r w:rsidRPr="00EB486E">
        <w:rPr>
          <w:sz w:val="22"/>
          <w:szCs w:val="22"/>
        </w:rPr>
        <w:t>(4)(i) If the VOC content is found to be different when EPA Method 24 is used during an enforcement inspection from that used by the owner or operator in calculating G</w:t>
      </w:r>
      <w:r w:rsidRPr="00EB486E">
        <w:rPr>
          <w:sz w:val="22"/>
          <w:szCs w:val="22"/>
          <w:vertAlign w:val="subscript"/>
        </w:rPr>
        <w:t>a</w:t>
      </w:r>
      <w:r w:rsidRPr="00EB486E">
        <w:rPr>
          <w:sz w:val="22"/>
          <w:szCs w:val="22"/>
        </w:rPr>
        <w:t>, recalculation of G</w:t>
      </w:r>
      <w:r w:rsidRPr="00EB486E">
        <w:rPr>
          <w:sz w:val="22"/>
          <w:szCs w:val="22"/>
          <w:vertAlign w:val="subscript"/>
        </w:rPr>
        <w:t>a</w:t>
      </w:r>
      <w:r w:rsidRPr="00EB486E">
        <w:rPr>
          <w:sz w:val="22"/>
          <w:szCs w:val="22"/>
        </w:rPr>
        <w:t xml:space="preserve"> is required using the new value. If more than one chemical milling maskant is involved, the recalculation shall be made once using </w:t>
      </w:r>
      <w:proofErr w:type="gramStart"/>
      <w:r w:rsidRPr="00EB486E">
        <w:rPr>
          <w:sz w:val="22"/>
          <w:szCs w:val="22"/>
        </w:rPr>
        <w:t>all of</w:t>
      </w:r>
      <w:proofErr w:type="gramEnd"/>
      <w:r w:rsidRPr="00EB486E">
        <w:rPr>
          <w:sz w:val="22"/>
          <w:szCs w:val="22"/>
        </w:rPr>
        <w:t xml:space="preserve"> the new values. </w:t>
      </w:r>
    </w:p>
    <w:p w:rsidR="00EB486E" w:rsidRPr="00EB486E" w:rsidRDefault="00EB486E" w:rsidP="00EB486E">
      <w:pPr>
        <w:pStyle w:val="NormalWeb"/>
        <w:rPr>
          <w:sz w:val="22"/>
          <w:szCs w:val="22"/>
        </w:rPr>
      </w:pPr>
      <w:r w:rsidRPr="00EB486E">
        <w:rPr>
          <w:sz w:val="22"/>
          <w:szCs w:val="22"/>
        </w:rPr>
        <w:t>(ii) If recalculation is required, an owner or operator may elect to include in the recalculation of G</w:t>
      </w:r>
      <w:r w:rsidRPr="00EB486E">
        <w:rPr>
          <w:sz w:val="22"/>
          <w:szCs w:val="22"/>
          <w:vertAlign w:val="subscript"/>
        </w:rPr>
        <w:t>a</w:t>
      </w:r>
      <w:r w:rsidRPr="00EB486E">
        <w:rPr>
          <w:sz w:val="22"/>
          <w:szCs w:val="22"/>
        </w:rPr>
        <w:t xml:space="preserve"> uncontrolled chemical milling maskants that were not previously included provided appropriate and sufficient records were maintained for these other chemical milling maskants to allow daily recalculations. </w:t>
      </w:r>
    </w:p>
    <w:p w:rsidR="00EB486E" w:rsidRPr="00EB486E" w:rsidRDefault="00EB486E" w:rsidP="00EB486E">
      <w:pPr>
        <w:pStyle w:val="NormalWeb"/>
        <w:rPr>
          <w:sz w:val="22"/>
          <w:szCs w:val="22"/>
        </w:rPr>
      </w:pPr>
      <w:r w:rsidRPr="00EB486E">
        <w:rPr>
          <w:sz w:val="22"/>
          <w:szCs w:val="22"/>
        </w:rPr>
        <w:lastRenderedPageBreak/>
        <w:t>(iii) The recalculated value of G</w:t>
      </w:r>
      <w:r w:rsidRPr="00EB486E">
        <w:rPr>
          <w:sz w:val="22"/>
          <w:szCs w:val="22"/>
          <w:vertAlign w:val="subscript"/>
        </w:rPr>
        <w:t>a</w:t>
      </w:r>
      <w:r w:rsidRPr="00EB486E">
        <w:rPr>
          <w:sz w:val="22"/>
          <w:szCs w:val="22"/>
        </w:rPr>
        <w:t xml:space="preserve"> under either paragraph (n)(4)(i) or (n)(4)(ii) of this section shall be used to determine compliance. </w:t>
      </w:r>
    </w:p>
    <w:p w:rsidR="00EB486E" w:rsidRPr="00EB486E" w:rsidRDefault="00EB486E" w:rsidP="00EB486E">
      <w:pPr>
        <w:pStyle w:val="NormalWeb"/>
        <w:rPr>
          <w:sz w:val="22"/>
          <w:szCs w:val="22"/>
        </w:rPr>
      </w:pPr>
      <w:r w:rsidRPr="00EB486E">
        <w:rPr>
          <w:sz w:val="22"/>
          <w:szCs w:val="22"/>
        </w:rPr>
        <w:t xml:space="preserve">(o) </w:t>
      </w:r>
      <w:r w:rsidRPr="00EB486E">
        <w:rPr>
          <w:i/>
          <w:iCs/>
          <w:sz w:val="22"/>
          <w:szCs w:val="22"/>
        </w:rPr>
        <w:t>Inorganic HAP emissions—dry particulate filter certification requirements.</w:t>
      </w:r>
      <w:r w:rsidRPr="00EB486E">
        <w:rPr>
          <w:sz w:val="22"/>
          <w:szCs w:val="22"/>
        </w:rPr>
        <w:t xml:space="preserve"> Dry particulate filters used to comply with §§63.745(g)(2) or 63.746(b)(4) must be certified by the filter manufacturer or distributor, paint/depainting booth supplier, and/or the facility owner or operator using method 319 in appendix A of this part, to meet or exceed the efficiency data points found in Tables 2 and 3, or 4 and 5 of §63.745 for existing or new sources respectively.</w:t>
      </w:r>
    </w:p>
    <w:p w:rsidR="00EB486E" w:rsidRPr="00EB486E" w:rsidRDefault="00EB486E" w:rsidP="00EB486E">
      <w:pPr>
        <w:pStyle w:val="cita"/>
        <w:rPr>
          <w:sz w:val="22"/>
          <w:szCs w:val="22"/>
        </w:rPr>
      </w:pPr>
      <w:r w:rsidRPr="00EB486E">
        <w:rPr>
          <w:sz w:val="22"/>
          <w:szCs w:val="22"/>
        </w:rPr>
        <w:t>[60 FR 45956, Sept. 1, 1996, as amended at 63 FR 15021, Mar. 27, 1998; 63 FR 46534, Sept. 1, 1998; 65 FR 62215, Oct. 17, 2000; 79 FR 11284, Feb. 27, 2014; 80 FR 76185, Dec. 7, 2015]</w:t>
      </w:r>
    </w:p>
    <w:p w:rsidR="00EB486E" w:rsidRPr="00EB486E" w:rsidRDefault="00EB486E" w:rsidP="00EB486E">
      <w:pPr>
        <w:pStyle w:val="Heading2"/>
        <w:rPr>
          <w:rFonts w:ascii="Times New Roman" w:hAnsi="Times New Roman" w:cs="Times New Roman"/>
          <w:sz w:val="22"/>
          <w:szCs w:val="22"/>
        </w:rPr>
      </w:pPr>
      <w:bookmarkStart w:id="43" w:name="se40.12.63_1751"/>
      <w:bookmarkEnd w:id="43"/>
      <w:r w:rsidRPr="00EB486E">
        <w:rPr>
          <w:rFonts w:ascii="Times New Roman" w:hAnsi="Times New Roman" w:cs="Times New Roman"/>
          <w:sz w:val="22"/>
          <w:szCs w:val="22"/>
        </w:rPr>
        <w:t>§63.751   Monitoring requirements.</w:t>
      </w:r>
    </w:p>
    <w:p w:rsidR="00EB486E" w:rsidRPr="00EB486E" w:rsidRDefault="00EB486E" w:rsidP="00EB486E">
      <w:pPr>
        <w:pStyle w:val="NormalWeb"/>
        <w:rPr>
          <w:sz w:val="22"/>
          <w:szCs w:val="22"/>
        </w:rPr>
      </w:pPr>
      <w:r w:rsidRPr="00EB486E">
        <w:rPr>
          <w:sz w:val="22"/>
          <w:szCs w:val="22"/>
        </w:rPr>
        <w:t xml:space="preserve">(a) </w:t>
      </w:r>
      <w:r w:rsidRPr="00EB486E">
        <w:rPr>
          <w:i/>
          <w:iCs/>
          <w:sz w:val="22"/>
          <w:szCs w:val="22"/>
        </w:rPr>
        <w:t>Enclosed spray gun cleaners.</w:t>
      </w:r>
      <w:r w:rsidRPr="00EB486E">
        <w:rPr>
          <w:sz w:val="22"/>
          <w:szCs w:val="22"/>
        </w:rPr>
        <w:t xml:space="preserve"> Each owner or operator using an enclosed spray gun cleaner under §63.744(c)(1) shall visually inspect the seals and all other potential sources of leaks associated with each enclosed gun spray cleaner system at least once per month. Each inspection shall occur while the system is in operation. </w:t>
      </w:r>
    </w:p>
    <w:p w:rsidR="00EB486E" w:rsidRPr="00EB486E" w:rsidRDefault="00EB486E" w:rsidP="00EB486E">
      <w:pPr>
        <w:pStyle w:val="NormalWeb"/>
        <w:rPr>
          <w:sz w:val="22"/>
          <w:szCs w:val="22"/>
        </w:rPr>
      </w:pPr>
      <w:r w:rsidRPr="00EB486E">
        <w:rPr>
          <w:sz w:val="22"/>
          <w:szCs w:val="22"/>
        </w:rPr>
        <w:t xml:space="preserve">(b) </w:t>
      </w:r>
      <w:r w:rsidRPr="00EB486E">
        <w:rPr>
          <w:i/>
          <w:iCs/>
          <w:sz w:val="22"/>
          <w:szCs w:val="22"/>
        </w:rPr>
        <w:t>Incinerators and carbon adsorbers—initial compliance demonstrations.</w:t>
      </w:r>
      <w:r w:rsidRPr="00EB486E">
        <w:rPr>
          <w:sz w:val="22"/>
          <w:szCs w:val="22"/>
        </w:rPr>
        <w:t xml:space="preserve"> Each owner or operator subject to the requirements in this subpart must demonstrate initial compliance with the requirements of §§63.745(d), 63.746(c), and 63.747(d) of this subpart. Each owner or operator using a carbon adsorber to comply with the requirements in this subpart shall comply with the requirements specified in paragraphs (b)(1) through (7) of this section. Each owner or operator using an incinerator to comply with the requirements in this subpart shall comply with the requirements specified in paragraphs (b)(8) through (12) of this section. </w:t>
      </w:r>
    </w:p>
    <w:p w:rsidR="00EB486E" w:rsidRPr="00EB486E" w:rsidRDefault="00EB486E" w:rsidP="00EB486E">
      <w:pPr>
        <w:pStyle w:val="NormalWeb"/>
        <w:rPr>
          <w:sz w:val="22"/>
          <w:szCs w:val="22"/>
        </w:rPr>
      </w:pPr>
      <w:r w:rsidRPr="00EB486E">
        <w:rPr>
          <w:sz w:val="22"/>
          <w:szCs w:val="22"/>
        </w:rPr>
        <w:t xml:space="preserve">(1) Except as allowed by paragraph (b)(2) or (b)(5) of this section, for each control device used to control organic HAP or VOC emissions, the owner or operator shall fulfill the requirements of paragraph (b)(1) (i) or (ii) of this section. </w:t>
      </w:r>
    </w:p>
    <w:p w:rsidR="00EB486E" w:rsidRPr="00EB486E" w:rsidRDefault="00EB486E" w:rsidP="00EB486E">
      <w:pPr>
        <w:pStyle w:val="NormalWeb"/>
        <w:rPr>
          <w:sz w:val="22"/>
          <w:szCs w:val="22"/>
        </w:rPr>
      </w:pPr>
      <w:r w:rsidRPr="00EB486E">
        <w:rPr>
          <w:sz w:val="22"/>
          <w:szCs w:val="22"/>
        </w:rPr>
        <w:t xml:space="preserve">(i) The owner or operator shall establish as a site-specific operating parameter the outlet total HAP or VOC concentration that demonstrates compliance with §63.745(d), §63.746(c), or §63.747(d) as appropriate; or </w:t>
      </w:r>
    </w:p>
    <w:p w:rsidR="00EB486E" w:rsidRPr="00EB486E" w:rsidRDefault="00EB486E" w:rsidP="00EB486E">
      <w:pPr>
        <w:pStyle w:val="NormalWeb"/>
        <w:rPr>
          <w:sz w:val="22"/>
          <w:szCs w:val="22"/>
        </w:rPr>
      </w:pPr>
      <w:r w:rsidRPr="00EB486E">
        <w:rPr>
          <w:sz w:val="22"/>
          <w:szCs w:val="22"/>
        </w:rPr>
        <w:t xml:space="preserve">(ii) The owner or operator shall establish as the site-specific operating parameter the control device efficiency that demonstrates compliance with §63.745(d), §63.746(c), or §63.747(d). </w:t>
      </w:r>
    </w:p>
    <w:p w:rsidR="00EB486E" w:rsidRPr="00EB486E" w:rsidRDefault="00EB486E" w:rsidP="00EB486E">
      <w:pPr>
        <w:pStyle w:val="NormalWeb"/>
        <w:rPr>
          <w:sz w:val="22"/>
          <w:szCs w:val="22"/>
        </w:rPr>
      </w:pPr>
      <w:r w:rsidRPr="00EB486E">
        <w:rPr>
          <w:sz w:val="22"/>
          <w:szCs w:val="22"/>
        </w:rPr>
        <w:t xml:space="preserve">(iii) When a nonregenerative carbon adsorber is used to comply with §63.745(d), §63.746(c), or §63.747(d), the site-specific operating parameter value may be established as part of the design evaluation used to demonstrate initial compliance. Otherwise, the site-specific operating parameter value shall be established during the initial performance test conducted according to the procedures of §63.750(g). </w:t>
      </w:r>
    </w:p>
    <w:p w:rsidR="00EB486E" w:rsidRPr="00EB486E" w:rsidRDefault="00EB486E" w:rsidP="00EB486E">
      <w:pPr>
        <w:pStyle w:val="NormalWeb"/>
        <w:rPr>
          <w:sz w:val="22"/>
          <w:szCs w:val="22"/>
        </w:rPr>
      </w:pPr>
      <w:r w:rsidRPr="00EB486E">
        <w:rPr>
          <w:sz w:val="22"/>
          <w:szCs w:val="22"/>
        </w:rPr>
        <w:t xml:space="preserve">(2) For each nonregenerative carbon adsorber, in lieu of meeting the requirements of §63.751(b)(1), the owner or operator may establish as the site-specific operating parameter the carbon replacement time interval, as determined by the maximum design flow rate and organic concentration in the gas stream vented to the carbon adsorption system. The carbon replacement time interval shall be established either as part of the design evaluation to demonstrate initial compliance or during the initial performance test conducted according to the procedures in §63.750(g) (1), (2), (3), or (4). </w:t>
      </w:r>
    </w:p>
    <w:p w:rsidR="00EB486E" w:rsidRPr="00EB486E" w:rsidRDefault="00EB486E" w:rsidP="00EB486E">
      <w:pPr>
        <w:pStyle w:val="NormalWeb"/>
        <w:rPr>
          <w:sz w:val="22"/>
          <w:szCs w:val="22"/>
        </w:rPr>
      </w:pPr>
      <w:r w:rsidRPr="00EB486E">
        <w:rPr>
          <w:sz w:val="22"/>
          <w:szCs w:val="22"/>
        </w:rPr>
        <w:lastRenderedPageBreak/>
        <w:t xml:space="preserve">(3) Each owner or operator venting solvent HAP emissions from a source through a room, enclosure, or hood, to a control device to comply with §63.745(d), §63.746(c), or §63.747(d) shall: </w:t>
      </w:r>
    </w:p>
    <w:p w:rsidR="00EB486E" w:rsidRPr="00EB486E" w:rsidRDefault="00EB486E" w:rsidP="00EB486E">
      <w:pPr>
        <w:pStyle w:val="NormalWeb"/>
        <w:rPr>
          <w:sz w:val="22"/>
          <w:szCs w:val="22"/>
        </w:rPr>
      </w:pPr>
      <w:r w:rsidRPr="00EB486E">
        <w:rPr>
          <w:sz w:val="22"/>
          <w:szCs w:val="22"/>
        </w:rPr>
        <w:t xml:space="preserve">(i) Submit to the Administrator with the compliance status report required by §63.9(h) of the General Provisions a plan that: </w:t>
      </w:r>
    </w:p>
    <w:p w:rsidR="00EB486E" w:rsidRPr="00EB486E" w:rsidRDefault="00EB486E" w:rsidP="00EB486E">
      <w:pPr>
        <w:pStyle w:val="NormalWeb"/>
        <w:rPr>
          <w:sz w:val="22"/>
          <w:szCs w:val="22"/>
        </w:rPr>
      </w:pPr>
      <w:r w:rsidRPr="00EB486E">
        <w:rPr>
          <w:sz w:val="22"/>
          <w:szCs w:val="22"/>
        </w:rPr>
        <w:t xml:space="preserve">(A) Identifies the operating parameter to be monitored to ensure that the capture efficiency measured during the initial compliance test is maintained; </w:t>
      </w:r>
    </w:p>
    <w:p w:rsidR="00EB486E" w:rsidRPr="00EB486E" w:rsidRDefault="00EB486E" w:rsidP="00EB486E">
      <w:pPr>
        <w:pStyle w:val="NormalWeb"/>
        <w:rPr>
          <w:sz w:val="22"/>
          <w:szCs w:val="22"/>
        </w:rPr>
      </w:pPr>
      <w:r w:rsidRPr="00EB486E">
        <w:rPr>
          <w:sz w:val="22"/>
          <w:szCs w:val="22"/>
        </w:rPr>
        <w:t xml:space="preserve">(B) Discusses why this parameter is appropriate for demonstrating ongoing compliance; and </w:t>
      </w:r>
    </w:p>
    <w:p w:rsidR="00EB486E" w:rsidRPr="00EB486E" w:rsidRDefault="00EB486E" w:rsidP="00EB486E">
      <w:pPr>
        <w:pStyle w:val="NormalWeb"/>
        <w:rPr>
          <w:sz w:val="22"/>
          <w:szCs w:val="22"/>
        </w:rPr>
      </w:pPr>
      <w:r w:rsidRPr="00EB486E">
        <w:rPr>
          <w:sz w:val="22"/>
          <w:szCs w:val="22"/>
        </w:rPr>
        <w:t xml:space="preserve">(C) Identifies the specific monitoring procedures; </w:t>
      </w:r>
    </w:p>
    <w:p w:rsidR="00EB486E" w:rsidRPr="00EB486E" w:rsidRDefault="00EB486E" w:rsidP="00EB486E">
      <w:pPr>
        <w:pStyle w:val="NormalWeb"/>
        <w:rPr>
          <w:sz w:val="22"/>
          <w:szCs w:val="22"/>
        </w:rPr>
      </w:pPr>
      <w:r w:rsidRPr="00EB486E">
        <w:rPr>
          <w:sz w:val="22"/>
          <w:szCs w:val="22"/>
        </w:rPr>
        <w:t xml:space="preserve">(ii) Set the operating parameter value, or range of values, that demonstrate compliance with §63.745(d), §63.746(c), or §63.747(d), as appropriate; and </w:t>
      </w:r>
    </w:p>
    <w:p w:rsidR="00EB486E" w:rsidRPr="00EB486E" w:rsidRDefault="00EB486E" w:rsidP="00EB486E">
      <w:pPr>
        <w:pStyle w:val="NormalWeb"/>
        <w:rPr>
          <w:sz w:val="22"/>
          <w:szCs w:val="22"/>
        </w:rPr>
      </w:pPr>
      <w:r w:rsidRPr="00EB486E">
        <w:rPr>
          <w:sz w:val="22"/>
          <w:szCs w:val="22"/>
        </w:rPr>
        <w:t xml:space="preserve">(iii) Conduct monitoring in accordance with the plan submitted to the Administrator unless comments received from the Administrator require an alternate monitoring scheme. </w:t>
      </w:r>
    </w:p>
    <w:p w:rsidR="00EB486E" w:rsidRPr="00EB486E" w:rsidRDefault="00EB486E" w:rsidP="00EB486E">
      <w:pPr>
        <w:pStyle w:val="NormalWeb"/>
        <w:rPr>
          <w:sz w:val="22"/>
          <w:szCs w:val="22"/>
        </w:rPr>
      </w:pPr>
      <w:r w:rsidRPr="00EB486E">
        <w:rPr>
          <w:sz w:val="22"/>
          <w:szCs w:val="22"/>
        </w:rPr>
        <w:t xml:space="preserve">(4) Owners or operators subject to §63.751(b) (1), (2), or (3) shall calculate the site-specific operating parameter value, or range of values, as the arithmetic average of the maximum and/or minimum operating parameter values, as appropriate, that demonstrate compliance with §63.745(d), §63.746(c), or §63.747(d) during the multiple test runs required by §63.750 (g)(2) and (g)(1). </w:t>
      </w:r>
    </w:p>
    <w:p w:rsidR="00EB486E" w:rsidRPr="00EB486E" w:rsidRDefault="00EB486E" w:rsidP="00EB486E">
      <w:pPr>
        <w:pStyle w:val="NormalWeb"/>
        <w:rPr>
          <w:sz w:val="22"/>
          <w:szCs w:val="22"/>
        </w:rPr>
      </w:pPr>
      <w:r w:rsidRPr="00EB486E">
        <w:rPr>
          <w:sz w:val="22"/>
          <w:szCs w:val="22"/>
        </w:rPr>
        <w:t xml:space="preserve">(5) For each solvent recovery device used to comply with §63.745(d), §63.746(c), or §63.747(d), in lieu of meeting the requirements of paragraph (b)(1) of this section, the results of the material balance calculation conducted in accordance with §63.750(g)(1) may serve as the site-specific operating parameter that demonstrates compliance with §63.745(d), §63.746(c), or §63.747(d). </w:t>
      </w:r>
    </w:p>
    <w:p w:rsidR="00EB486E" w:rsidRPr="00EB486E" w:rsidRDefault="00EB486E" w:rsidP="00EB486E">
      <w:pPr>
        <w:pStyle w:val="NormalWeb"/>
        <w:rPr>
          <w:sz w:val="22"/>
          <w:szCs w:val="22"/>
        </w:rPr>
      </w:pPr>
      <w:r w:rsidRPr="00EB486E">
        <w:rPr>
          <w:sz w:val="22"/>
          <w:szCs w:val="22"/>
        </w:rPr>
        <w:t xml:space="preserve">(6) </w:t>
      </w:r>
      <w:r w:rsidRPr="00EB486E">
        <w:rPr>
          <w:i/>
          <w:iCs/>
          <w:sz w:val="22"/>
          <w:szCs w:val="22"/>
        </w:rPr>
        <w:t>Continuous compliance monitoring.</w:t>
      </w:r>
      <w:r w:rsidRPr="00EB486E">
        <w:rPr>
          <w:sz w:val="22"/>
          <w:szCs w:val="22"/>
        </w:rPr>
        <w:t xml:space="preserve"> Following the date on which the initial compliance demonstration is completed, continuous compliance with §63.745(d), §63.746(c), or §63.747(d) of this subpart shall be demonstrated as outlined in this paragraph. </w:t>
      </w:r>
    </w:p>
    <w:p w:rsidR="00EB486E" w:rsidRPr="00EB486E" w:rsidRDefault="00EB486E" w:rsidP="00EB486E">
      <w:pPr>
        <w:pStyle w:val="NormalWeb"/>
        <w:rPr>
          <w:sz w:val="22"/>
          <w:szCs w:val="22"/>
        </w:rPr>
      </w:pPr>
      <w:r w:rsidRPr="00EB486E">
        <w:rPr>
          <w:sz w:val="22"/>
          <w:szCs w:val="22"/>
        </w:rPr>
        <w:t xml:space="preserve">(i) Each owner or operator of an affected source subject to §63.745(d), §63.746(c), or §63.747(d) of this subpart shall monitor the applicable parameters specified in paragraph (b)(6)(ii), (b)(6)(iii), or (b)(6)(iv) of this section depending on the type of control technique used. </w:t>
      </w:r>
    </w:p>
    <w:p w:rsidR="00EB486E" w:rsidRPr="00EB486E" w:rsidRDefault="00EB486E" w:rsidP="00EB486E">
      <w:pPr>
        <w:pStyle w:val="NormalWeb"/>
        <w:rPr>
          <w:sz w:val="22"/>
          <w:szCs w:val="22"/>
        </w:rPr>
      </w:pPr>
      <w:r w:rsidRPr="00EB486E">
        <w:rPr>
          <w:sz w:val="22"/>
          <w:szCs w:val="22"/>
        </w:rPr>
        <w:t xml:space="preserve">(ii) Compliance monitoring shall be subject to the following provisions: </w:t>
      </w:r>
    </w:p>
    <w:p w:rsidR="00EB486E" w:rsidRPr="00EB486E" w:rsidRDefault="00EB486E" w:rsidP="00EB486E">
      <w:pPr>
        <w:pStyle w:val="NormalWeb"/>
        <w:rPr>
          <w:sz w:val="22"/>
          <w:szCs w:val="22"/>
        </w:rPr>
      </w:pPr>
      <w:r w:rsidRPr="00EB486E">
        <w:rPr>
          <w:sz w:val="22"/>
          <w:szCs w:val="22"/>
        </w:rPr>
        <w:t>(A) Except as allowed by paragraph (b)(6)(iii)(A)(</w:t>
      </w:r>
      <w:r w:rsidRPr="00EB486E">
        <w:rPr>
          <w:i/>
          <w:iCs/>
          <w:sz w:val="22"/>
          <w:szCs w:val="22"/>
        </w:rPr>
        <w:t>2</w:t>
      </w:r>
      <w:r w:rsidRPr="00EB486E">
        <w:rPr>
          <w:sz w:val="22"/>
          <w:szCs w:val="22"/>
        </w:rPr>
        <w:t xml:space="preserve">) of this section, all continuous emission monitors shall comply with performance specification (PS) 8 or 9 in 40 CFR part 60, appendix B, as appropriate depending on whether VOC or HAP concentration is being measured. The requirements in appendix F of 40 CFR part 60 shall also be followed. In conducting the quarterly audits required by appendix F, owners or operators shall challenge the monitors with compounds representative of the gaseous emission stream being controlled. </w:t>
      </w:r>
    </w:p>
    <w:p w:rsidR="00EB486E" w:rsidRPr="00EB486E" w:rsidRDefault="00EB486E" w:rsidP="00EB486E">
      <w:pPr>
        <w:pStyle w:val="NormalWeb"/>
        <w:rPr>
          <w:sz w:val="22"/>
          <w:szCs w:val="22"/>
        </w:rPr>
      </w:pPr>
      <w:r w:rsidRPr="00EB486E">
        <w:rPr>
          <w:sz w:val="22"/>
          <w:szCs w:val="22"/>
        </w:rPr>
        <w:t xml:space="preserve">(B) If the effluent from multiple emission points are combined prior to being channeled to a common control device, the owner or operator is required only to monitor the common control device, not each emission point. </w:t>
      </w:r>
    </w:p>
    <w:p w:rsidR="00EB486E" w:rsidRPr="00EB486E" w:rsidRDefault="00EB486E" w:rsidP="00EB486E">
      <w:pPr>
        <w:pStyle w:val="NormalWeb"/>
        <w:rPr>
          <w:sz w:val="22"/>
          <w:szCs w:val="22"/>
        </w:rPr>
      </w:pPr>
      <w:r w:rsidRPr="00EB486E">
        <w:rPr>
          <w:sz w:val="22"/>
          <w:szCs w:val="22"/>
        </w:rPr>
        <w:lastRenderedPageBreak/>
        <w:t xml:space="preserve">(iii) Owners or operators complying with §63.745(d), §63.746(c), or §63.747(d) </w:t>
      </w:r>
      <w:proofErr w:type="gramStart"/>
      <w:r w:rsidRPr="00EB486E">
        <w:rPr>
          <w:sz w:val="22"/>
          <w:szCs w:val="22"/>
        </w:rPr>
        <w:t>through the use of</w:t>
      </w:r>
      <w:proofErr w:type="gramEnd"/>
      <w:r w:rsidRPr="00EB486E">
        <w:rPr>
          <w:sz w:val="22"/>
          <w:szCs w:val="22"/>
        </w:rPr>
        <w:t xml:space="preserve"> a control device and establishing a site-specific operating parameter in accordance with paragraph (b)(1) of this section shall fulfill the requirements of paragraph (b)(6)(iii)(A) of this section and paragraph (b)(6)(iii)(B) or (C) of this section, as appropriate.</w:t>
      </w:r>
    </w:p>
    <w:p w:rsidR="00EB486E" w:rsidRPr="00EB486E" w:rsidRDefault="00EB486E" w:rsidP="00EB486E">
      <w:pPr>
        <w:pStyle w:val="NormalWeb"/>
        <w:rPr>
          <w:sz w:val="22"/>
          <w:szCs w:val="22"/>
        </w:rPr>
      </w:pPr>
      <w:r w:rsidRPr="00EB486E">
        <w:rPr>
          <w:sz w:val="22"/>
          <w:szCs w:val="22"/>
        </w:rPr>
        <w:t xml:space="preserve">(A) The owner or operator shall install, calibrate, operate, and maintain a continuous emission monitor. </w:t>
      </w:r>
    </w:p>
    <w:p w:rsidR="00EB486E" w:rsidRPr="00EB486E" w:rsidRDefault="00EB486E" w:rsidP="00EB486E">
      <w:pPr>
        <w:pStyle w:val="NormalWeb"/>
        <w:rPr>
          <w:sz w:val="22"/>
          <w:szCs w:val="22"/>
        </w:rPr>
      </w:pPr>
      <w:r w:rsidRPr="00EB486E">
        <w:rPr>
          <w:sz w:val="22"/>
          <w:szCs w:val="22"/>
        </w:rPr>
        <w:t>(</w:t>
      </w:r>
      <w:r w:rsidRPr="00EB486E">
        <w:rPr>
          <w:i/>
          <w:iCs/>
          <w:sz w:val="22"/>
          <w:szCs w:val="22"/>
        </w:rPr>
        <w:t>1</w:t>
      </w:r>
      <w:r w:rsidRPr="00EB486E">
        <w:rPr>
          <w:sz w:val="22"/>
          <w:szCs w:val="22"/>
        </w:rPr>
        <w:t xml:space="preserve">) The continuous emission monitor shall be used to measure continuously the total HAP or VOC concentration at both the inlet and the outlet whenever HAP from coating and paint stripping operations are vented to the control device, or when continuous compliance is demonstrated through a percent efficiency calculation; or </w:t>
      </w:r>
    </w:p>
    <w:p w:rsidR="00EB486E" w:rsidRPr="00EB486E" w:rsidRDefault="00EB486E" w:rsidP="00EB486E">
      <w:pPr>
        <w:pStyle w:val="NormalWeb"/>
        <w:rPr>
          <w:sz w:val="22"/>
          <w:szCs w:val="22"/>
        </w:rPr>
      </w:pPr>
      <w:r w:rsidRPr="00EB486E">
        <w:rPr>
          <w:sz w:val="22"/>
          <w:szCs w:val="22"/>
        </w:rPr>
        <w:t>(</w:t>
      </w:r>
      <w:r w:rsidRPr="00EB486E">
        <w:rPr>
          <w:i/>
          <w:iCs/>
          <w:sz w:val="22"/>
          <w:szCs w:val="22"/>
        </w:rPr>
        <w:t>2</w:t>
      </w:r>
      <w:r w:rsidRPr="00EB486E">
        <w:rPr>
          <w:sz w:val="22"/>
          <w:szCs w:val="22"/>
        </w:rPr>
        <w:t>) For owners or operators using a nonregenerative carbon adsorber, in lieu of using continuous emission monitors as specified in paragraph (b)(6)(iii)(A)(</w:t>
      </w:r>
      <w:r w:rsidRPr="00EB486E">
        <w:rPr>
          <w:i/>
          <w:iCs/>
          <w:sz w:val="22"/>
          <w:szCs w:val="22"/>
        </w:rPr>
        <w:t>1</w:t>
      </w:r>
      <w:r w:rsidRPr="00EB486E">
        <w:rPr>
          <w:sz w:val="22"/>
          <w:szCs w:val="22"/>
        </w:rPr>
        <w:t xml:space="preserve">) of this section, the owner or operator may use a portable monitoring device to monitor total HAP or VOC concentration at the inlet and outlet or the outlet of the carbon adsorber as appropriate. </w:t>
      </w:r>
    </w:p>
    <w:p w:rsidR="00EB486E" w:rsidRPr="00EB486E" w:rsidRDefault="00EB486E" w:rsidP="00EB486E">
      <w:pPr>
        <w:pStyle w:val="NormalWeb"/>
        <w:rPr>
          <w:sz w:val="22"/>
          <w:szCs w:val="22"/>
        </w:rPr>
      </w:pPr>
      <w:r w:rsidRPr="00EB486E">
        <w:rPr>
          <w:sz w:val="22"/>
          <w:szCs w:val="22"/>
        </w:rPr>
        <w:t>(</w:t>
      </w:r>
      <w:r w:rsidRPr="00EB486E">
        <w:rPr>
          <w:i/>
          <w:iCs/>
          <w:sz w:val="22"/>
          <w:szCs w:val="22"/>
        </w:rPr>
        <w:t>a</w:t>
      </w:r>
      <w:r w:rsidRPr="00EB486E">
        <w:rPr>
          <w:sz w:val="22"/>
          <w:szCs w:val="22"/>
        </w:rPr>
        <w:t xml:space="preserve">) The monitoring device shall be calibrated, operated, and maintained in accordance with the manufacturer's specifications. </w:t>
      </w:r>
    </w:p>
    <w:p w:rsidR="00EB486E" w:rsidRPr="00EB486E" w:rsidRDefault="00EB486E" w:rsidP="00EB486E">
      <w:pPr>
        <w:pStyle w:val="NormalWeb"/>
        <w:rPr>
          <w:sz w:val="22"/>
          <w:szCs w:val="22"/>
        </w:rPr>
      </w:pPr>
      <w:r w:rsidRPr="00EB486E">
        <w:rPr>
          <w:sz w:val="22"/>
          <w:szCs w:val="22"/>
        </w:rPr>
        <w:t>(</w:t>
      </w:r>
      <w:r w:rsidRPr="00EB486E">
        <w:rPr>
          <w:i/>
          <w:iCs/>
          <w:sz w:val="22"/>
          <w:szCs w:val="22"/>
        </w:rPr>
        <w:t>b</w:t>
      </w:r>
      <w:r w:rsidRPr="00EB486E">
        <w:rPr>
          <w:sz w:val="22"/>
          <w:szCs w:val="22"/>
        </w:rPr>
        <w:t xml:space="preserve">) The monitoring device shall meet the requirements of part 60, appendix A, Method 21, sections 2, 3, 4.1, 4.2, and 4.4. The calibration gas shall either be representative of the compounds to be measured or shall be methane, and shall be at a concentration associated with 125% of the expected organic compound concentration level for the carbon adsorber outlet vent. </w:t>
      </w:r>
    </w:p>
    <w:p w:rsidR="00EB486E" w:rsidRPr="00EB486E" w:rsidRDefault="00EB486E" w:rsidP="00EB486E">
      <w:pPr>
        <w:pStyle w:val="NormalWeb"/>
        <w:rPr>
          <w:sz w:val="22"/>
          <w:szCs w:val="22"/>
        </w:rPr>
      </w:pPr>
      <w:r w:rsidRPr="00EB486E">
        <w:rPr>
          <w:sz w:val="22"/>
          <w:szCs w:val="22"/>
        </w:rPr>
        <w:t>(</w:t>
      </w:r>
      <w:r w:rsidRPr="00EB486E">
        <w:rPr>
          <w:i/>
          <w:iCs/>
          <w:sz w:val="22"/>
          <w:szCs w:val="22"/>
        </w:rPr>
        <w:t>c</w:t>
      </w:r>
      <w:r w:rsidRPr="00EB486E">
        <w:rPr>
          <w:sz w:val="22"/>
          <w:szCs w:val="22"/>
        </w:rPr>
        <w:t xml:space="preserve">) The probe inlet of the monitoring device shall be placed at approximately the center of the carbon adsorber outlet vent. The probe shall be held there for at least 5 minutes during which flow into the carbon adsorber is expected to occur. The maximum reading during that period shall be used as the measurement. </w:t>
      </w:r>
    </w:p>
    <w:p w:rsidR="00EB486E" w:rsidRPr="00EB486E" w:rsidRDefault="00EB486E" w:rsidP="00EB486E">
      <w:pPr>
        <w:pStyle w:val="NormalWeb"/>
        <w:rPr>
          <w:sz w:val="22"/>
          <w:szCs w:val="22"/>
        </w:rPr>
      </w:pPr>
      <w:r w:rsidRPr="00EB486E">
        <w:rPr>
          <w:sz w:val="22"/>
          <w:szCs w:val="22"/>
        </w:rPr>
        <w:t xml:space="preserve">(B) If complying with §63.745(d), §63.746(c), or §63.747(d) </w:t>
      </w:r>
      <w:proofErr w:type="gramStart"/>
      <w:r w:rsidRPr="00EB486E">
        <w:rPr>
          <w:sz w:val="22"/>
          <w:szCs w:val="22"/>
        </w:rPr>
        <w:t>through the use of</w:t>
      </w:r>
      <w:proofErr w:type="gramEnd"/>
      <w:r w:rsidRPr="00EB486E">
        <w:rPr>
          <w:sz w:val="22"/>
          <w:szCs w:val="22"/>
        </w:rPr>
        <w:t xml:space="preserve"> a carbon adsorption system with a common exhaust stack for all of the carbon vessels, the owner or operator shall not operate the control device at an average control efficiency less than that required by §63.745(d), §63.746(c), or §63.747(d) for three consecutive adsorption cycles. </w:t>
      </w:r>
    </w:p>
    <w:p w:rsidR="00EB486E" w:rsidRPr="00EB486E" w:rsidRDefault="00EB486E" w:rsidP="00EB486E">
      <w:pPr>
        <w:pStyle w:val="NormalWeb"/>
        <w:rPr>
          <w:sz w:val="22"/>
          <w:szCs w:val="22"/>
        </w:rPr>
      </w:pPr>
      <w:r w:rsidRPr="00EB486E">
        <w:rPr>
          <w:sz w:val="22"/>
          <w:szCs w:val="22"/>
        </w:rPr>
        <w:t xml:space="preserve">(C) If complying with §63.745(d), §63.746(c), or §63.747(d) </w:t>
      </w:r>
      <w:proofErr w:type="gramStart"/>
      <w:r w:rsidRPr="00EB486E">
        <w:rPr>
          <w:sz w:val="22"/>
          <w:szCs w:val="22"/>
        </w:rPr>
        <w:t>through the use of</w:t>
      </w:r>
      <w:proofErr w:type="gramEnd"/>
      <w:r w:rsidRPr="00EB486E">
        <w:rPr>
          <w:sz w:val="22"/>
          <w:szCs w:val="22"/>
        </w:rPr>
        <w:t xml:space="preserve"> a carbon adsorption system with individual exhaust stacks for each of the multiple carbon adsorber vessels, the owner or operator shall not operate any carbon adsorber vessel at an average control efficiency less than that required by §63.745(d), §63.746(c), or §63.747(d) as calculated daily using a 7 to 30-day rolling average. </w:t>
      </w:r>
    </w:p>
    <w:p w:rsidR="00EB486E" w:rsidRPr="00EB486E" w:rsidRDefault="00EB486E" w:rsidP="00EB486E">
      <w:pPr>
        <w:pStyle w:val="NormalWeb"/>
        <w:rPr>
          <w:sz w:val="22"/>
          <w:szCs w:val="22"/>
        </w:rPr>
      </w:pPr>
      <w:r w:rsidRPr="00EB486E">
        <w:rPr>
          <w:sz w:val="22"/>
          <w:szCs w:val="22"/>
        </w:rPr>
        <w:t xml:space="preserve">(D) If complying with §63.745(d), §63.746(c), or §63.747(d) </w:t>
      </w:r>
      <w:proofErr w:type="gramStart"/>
      <w:r w:rsidRPr="00EB486E">
        <w:rPr>
          <w:sz w:val="22"/>
          <w:szCs w:val="22"/>
        </w:rPr>
        <w:t>through the use of</w:t>
      </w:r>
      <w:proofErr w:type="gramEnd"/>
      <w:r w:rsidRPr="00EB486E">
        <w:rPr>
          <w:sz w:val="22"/>
          <w:szCs w:val="22"/>
        </w:rPr>
        <w:t xml:space="preserve"> a nonregenerative carbon adsorber, in lieu of the requirements of paragraph (b)(6)(iii) (B) or (C) of this section, the owner or operator may monitor the VOC or HAP concentration of the adsorber exhaust daily, at intervals no greater than 20 percent of the design carbon replacement interval, whichever is greater, or at a frequency as determined by the owner or operator and approved by the Administrator.</w:t>
      </w:r>
    </w:p>
    <w:p w:rsidR="00EB486E" w:rsidRPr="00EB486E" w:rsidRDefault="00EB486E" w:rsidP="00EB486E">
      <w:pPr>
        <w:pStyle w:val="NormalWeb"/>
        <w:rPr>
          <w:sz w:val="22"/>
          <w:szCs w:val="22"/>
        </w:rPr>
      </w:pPr>
      <w:r w:rsidRPr="00EB486E">
        <w:rPr>
          <w:sz w:val="22"/>
          <w:szCs w:val="22"/>
        </w:rPr>
        <w:t xml:space="preserve">(iv) Owners or operators complying with §63.745(d), §63.746(c), or §63.747(d) </w:t>
      </w:r>
      <w:proofErr w:type="gramStart"/>
      <w:r w:rsidRPr="00EB486E">
        <w:rPr>
          <w:sz w:val="22"/>
          <w:szCs w:val="22"/>
        </w:rPr>
        <w:t>through the use of</w:t>
      </w:r>
      <w:proofErr w:type="gramEnd"/>
      <w:r w:rsidRPr="00EB486E">
        <w:rPr>
          <w:sz w:val="22"/>
          <w:szCs w:val="22"/>
        </w:rPr>
        <w:t xml:space="preserve"> a nonregenerative carbon adsorber and establishing a site-specific operating parameter for the carbon replacement </w:t>
      </w:r>
      <w:r w:rsidRPr="00EB486E">
        <w:rPr>
          <w:sz w:val="22"/>
          <w:szCs w:val="22"/>
        </w:rPr>
        <w:lastRenderedPageBreak/>
        <w:t>time interval in accordance with paragraph (b)(2) shall replace the carbon in the carbon adsorber system with fresh carbon at the predetermined time interval as determined in the design evaluation.</w:t>
      </w:r>
    </w:p>
    <w:p w:rsidR="00EB486E" w:rsidRPr="00EB486E" w:rsidRDefault="00EB486E" w:rsidP="00EB486E">
      <w:pPr>
        <w:pStyle w:val="NormalWeb"/>
        <w:rPr>
          <w:sz w:val="22"/>
          <w:szCs w:val="22"/>
        </w:rPr>
      </w:pPr>
      <w:r w:rsidRPr="00EB486E">
        <w:rPr>
          <w:sz w:val="22"/>
          <w:szCs w:val="22"/>
        </w:rPr>
        <w:t xml:space="preserve">(v) Owners or operators complying with §63.745(d), §63.746(c), or §63.747(d) by capturing emissions through a room, enclosure, or hood shall install, calibrate, operate, and maintain the instrumentation necessary to measure continuously the site-specific operating parameter established in accordance with paragraph (b)(3) of this section whenever VOC and HAP from coating and stripper operations are vented through the capture device. The capture device shall not be operated at an average value greater than or less than (as appropriate) the operating parameter value established in accordance with paragraph (b)(3) of this section for any 3-hour period. </w:t>
      </w:r>
    </w:p>
    <w:p w:rsidR="00EB486E" w:rsidRPr="00EB486E" w:rsidRDefault="00EB486E" w:rsidP="00EB486E">
      <w:pPr>
        <w:pStyle w:val="NormalWeb"/>
        <w:rPr>
          <w:sz w:val="22"/>
          <w:szCs w:val="22"/>
        </w:rPr>
      </w:pPr>
      <w:r w:rsidRPr="00EB486E">
        <w:rPr>
          <w:sz w:val="22"/>
          <w:szCs w:val="22"/>
        </w:rPr>
        <w:t xml:space="preserve">(7) Owners or operators complying with paragraph (b)(4) or (b)(5) of this section shall calculate the site-specific operating parameter value as the arithmetic average of the minimum operating parameter values that demonstrate compliance with §63.745(d)and §63.747(d) during the three test runs required by §63.750(h)(2)(iv). </w:t>
      </w:r>
    </w:p>
    <w:p w:rsidR="00EB486E" w:rsidRPr="00EB486E" w:rsidRDefault="00EB486E" w:rsidP="00EB486E">
      <w:pPr>
        <w:pStyle w:val="NormalWeb"/>
        <w:rPr>
          <w:sz w:val="22"/>
          <w:szCs w:val="22"/>
        </w:rPr>
      </w:pPr>
      <w:r w:rsidRPr="00EB486E">
        <w:rPr>
          <w:sz w:val="22"/>
          <w:szCs w:val="22"/>
        </w:rPr>
        <w:t>(8) All temperature monitoring equipment shall be installed, calibrated, maintained, and operated according to manufacturer's specifications. Every 3 months, facilities shall replace the temperature sensors or have the temperature sensors recalibrated. As an alternative, a facility may use a continuous emission monitoring system (CEMS) to verify that there has been no change in the destruction efficiency and effluent composition of the incinerator.</w:t>
      </w:r>
    </w:p>
    <w:p w:rsidR="00EB486E" w:rsidRPr="00EB486E" w:rsidRDefault="00EB486E" w:rsidP="00EB486E">
      <w:pPr>
        <w:pStyle w:val="NormalWeb"/>
        <w:rPr>
          <w:sz w:val="22"/>
          <w:szCs w:val="22"/>
        </w:rPr>
      </w:pPr>
      <w:r w:rsidRPr="00EB486E">
        <w:rPr>
          <w:sz w:val="22"/>
          <w:szCs w:val="22"/>
        </w:rPr>
        <w:t xml:space="preserve">(9) Where an incinerator other than a catalytic incinerator is used, a thermocouple equipped with a continuous recorder shall be installed and continuously operated in the firebox or in the ductwork immediately downstream of the firebox in a position before any substantial heat exchange occurs. </w:t>
      </w:r>
    </w:p>
    <w:p w:rsidR="00EB486E" w:rsidRPr="00EB486E" w:rsidRDefault="00EB486E" w:rsidP="00EB486E">
      <w:pPr>
        <w:pStyle w:val="NormalWeb"/>
        <w:rPr>
          <w:sz w:val="22"/>
          <w:szCs w:val="22"/>
        </w:rPr>
      </w:pPr>
      <w:r w:rsidRPr="00EB486E">
        <w:rPr>
          <w:sz w:val="22"/>
          <w:szCs w:val="22"/>
        </w:rPr>
        <w:t xml:space="preserve">(10) Where a catalytic incinerator is used, thermocouples, each equipped with a continuous recorder, shall be installed and continuously operated in the gas stream immediately before and after the catalyst bed. </w:t>
      </w:r>
    </w:p>
    <w:p w:rsidR="00EB486E" w:rsidRPr="00EB486E" w:rsidRDefault="00EB486E" w:rsidP="00EB486E">
      <w:pPr>
        <w:pStyle w:val="NormalWeb"/>
        <w:rPr>
          <w:sz w:val="22"/>
          <w:szCs w:val="22"/>
        </w:rPr>
      </w:pPr>
      <w:r w:rsidRPr="00EB486E">
        <w:rPr>
          <w:sz w:val="22"/>
          <w:szCs w:val="22"/>
        </w:rPr>
        <w:t xml:space="preserve">(11) For each </w:t>
      </w:r>
      <w:proofErr w:type="gramStart"/>
      <w:r w:rsidRPr="00EB486E">
        <w:rPr>
          <w:sz w:val="22"/>
          <w:szCs w:val="22"/>
        </w:rPr>
        <w:t>incinerator</w:t>
      </w:r>
      <w:proofErr w:type="gramEnd"/>
      <w:r w:rsidRPr="00EB486E">
        <w:rPr>
          <w:sz w:val="22"/>
          <w:szCs w:val="22"/>
        </w:rPr>
        <w:t xml:space="preserve"> other than a catalytic incinerator, each owner or operator shall establish during each performance test during which compliance is demonstrated, including the initial performance test, the minimum combustion temperature as a site-specific operating parameter. This minimum combustion temperature shall be the operating parameter value that demonstrates compliance with §§63.745(d) and 63.747(d). </w:t>
      </w:r>
    </w:p>
    <w:p w:rsidR="00EB486E" w:rsidRPr="00EB486E" w:rsidRDefault="00EB486E" w:rsidP="00EB486E">
      <w:pPr>
        <w:pStyle w:val="NormalWeb"/>
        <w:rPr>
          <w:sz w:val="22"/>
          <w:szCs w:val="22"/>
        </w:rPr>
      </w:pPr>
      <w:r w:rsidRPr="00EB486E">
        <w:rPr>
          <w:sz w:val="22"/>
          <w:szCs w:val="22"/>
        </w:rPr>
        <w:t xml:space="preserve">(12) For each catalytic incinerator, each owner or operator shall establish during each performance test during which compliance is demonstrated, including the initial performance test, the minimum gas temperature upstream of the catalyst bed and the minimum gas temperature difference across the catalyst bed as site-specific operating parameters. These minimum temperatures shall be the operating parameter values that demonstrate compliance with §§63.745(d) and 63.747(d). </w:t>
      </w:r>
    </w:p>
    <w:p w:rsidR="00EB486E" w:rsidRPr="00EB486E" w:rsidRDefault="00EB486E" w:rsidP="00EB486E">
      <w:pPr>
        <w:pStyle w:val="NormalWeb"/>
        <w:rPr>
          <w:sz w:val="22"/>
          <w:szCs w:val="22"/>
        </w:rPr>
      </w:pPr>
      <w:r w:rsidRPr="00EB486E">
        <w:rPr>
          <w:sz w:val="22"/>
          <w:szCs w:val="22"/>
        </w:rPr>
        <w:t xml:space="preserve">(c) </w:t>
      </w:r>
      <w:r w:rsidRPr="00EB486E">
        <w:rPr>
          <w:i/>
          <w:iCs/>
          <w:sz w:val="22"/>
          <w:szCs w:val="22"/>
        </w:rPr>
        <w:t>Dry particulate filter, HEPA filter, and waterwash systems—primer, topcoat, and specialty coating application operations</w:t>
      </w:r>
      <w:r w:rsidRPr="00EB486E">
        <w:rPr>
          <w:sz w:val="22"/>
          <w:szCs w:val="22"/>
        </w:rPr>
        <w:t>. (1) Each owner or operator using a dry particulate filter system to meet the requirements of §63.745(g)(2) shall, while primer, topcoat, and specialty coating application operations are occurring, continuously monitor the pressure drop across the system and read and record the pressure drop once per shift following the recordkeeping requirements of §63.752(d), or install an interlock system as specified in §63.745(g)(2)(iv)(C).</w:t>
      </w:r>
    </w:p>
    <w:p w:rsidR="00EB486E" w:rsidRPr="00EB486E" w:rsidRDefault="00EB486E" w:rsidP="00EB486E">
      <w:pPr>
        <w:pStyle w:val="NormalWeb"/>
        <w:rPr>
          <w:sz w:val="22"/>
          <w:szCs w:val="22"/>
        </w:rPr>
      </w:pPr>
      <w:r w:rsidRPr="00EB486E">
        <w:rPr>
          <w:sz w:val="22"/>
          <w:szCs w:val="22"/>
        </w:rPr>
        <w:t xml:space="preserve">(2) Each owner or operator using a conventional waterwash system to meet the requirements of §63.745(g)(2) shall, while primer or topcoat application operations are occurring, continuously monitor the water flow rate through the system and read and record the water flow rate once per shift following the recordkeeping </w:t>
      </w:r>
      <w:r w:rsidRPr="00EB486E">
        <w:rPr>
          <w:sz w:val="22"/>
          <w:szCs w:val="22"/>
        </w:rPr>
        <w:lastRenderedPageBreak/>
        <w:t>requirements of §63.752(d), or install an interlock system as specified in §63.745(g)(2)(v). Each owner or operator using a pumpless waterwash system to meet the requirements of §63.745(g)(2) shall, while primer, topcoat, and specialty coating application operations are occurring, measure and record the parameter(s) recommended by the booth manufacturer that indicate booth performance once per shift, following the recordkeeping requirements of §63.752(d), or install an interlock system as specified in §63.745(g)(2)(v).</w:t>
      </w:r>
    </w:p>
    <w:p w:rsidR="00EB486E" w:rsidRPr="00EB486E" w:rsidRDefault="00EB486E" w:rsidP="00EB486E">
      <w:pPr>
        <w:pStyle w:val="NormalWeb"/>
        <w:rPr>
          <w:sz w:val="22"/>
          <w:szCs w:val="22"/>
        </w:rPr>
      </w:pPr>
      <w:r w:rsidRPr="00EB486E">
        <w:rPr>
          <w:sz w:val="22"/>
          <w:szCs w:val="22"/>
        </w:rPr>
        <w:t xml:space="preserve">(d) </w:t>
      </w:r>
      <w:r w:rsidRPr="00EB486E">
        <w:rPr>
          <w:i/>
          <w:iCs/>
          <w:sz w:val="22"/>
          <w:szCs w:val="22"/>
        </w:rPr>
        <w:t>Particulate filters and waterwash booths—depainting operations.</w:t>
      </w:r>
      <w:r w:rsidRPr="00EB486E">
        <w:rPr>
          <w:sz w:val="22"/>
          <w:szCs w:val="22"/>
        </w:rPr>
        <w:t xml:space="preserve"> Each owner or operator using a dry particulate filter or a conventional waterwash system in accordance with the requirements of §63.746(b)(4) shall, while depainting operations are occurring, continuously monitor the pressure drop across the particulate filters or the water flow rate through the conventional waterwash system and read and record the pressure drop or the water flow rate once per shift following the recordkeeping requirements of §63.752(e). Each owner or operator using a pumpless waterwash system to meet the requirements of §63.746(b)(4) shall, while depainting operations are occurring, measure and record the parameter(s) recommended by the booth manufacturer that indicate booth performance once per shift, following the recordkeeping requirements of §63.752(e).</w:t>
      </w:r>
    </w:p>
    <w:p w:rsidR="00EB486E" w:rsidRPr="00EB486E" w:rsidRDefault="00EB486E" w:rsidP="00EB486E">
      <w:pPr>
        <w:pStyle w:val="NormalWeb"/>
        <w:rPr>
          <w:sz w:val="22"/>
          <w:szCs w:val="22"/>
        </w:rPr>
      </w:pPr>
      <w:r w:rsidRPr="00EB486E">
        <w:rPr>
          <w:sz w:val="22"/>
          <w:szCs w:val="22"/>
        </w:rPr>
        <w:t xml:space="preserve">(e) </w:t>
      </w:r>
      <w:r w:rsidRPr="00EB486E">
        <w:rPr>
          <w:i/>
          <w:iCs/>
          <w:sz w:val="22"/>
          <w:szCs w:val="22"/>
        </w:rPr>
        <w:t>Use of an alternative monitoring method</w:t>
      </w:r>
      <w:proofErr w:type="gramStart"/>
      <w:r w:rsidRPr="00EB486E">
        <w:rPr>
          <w:sz w:val="22"/>
          <w:szCs w:val="22"/>
        </w:rPr>
        <w:t>—(</w:t>
      </w:r>
      <w:proofErr w:type="gramEnd"/>
      <w:r w:rsidRPr="00EB486E">
        <w:rPr>
          <w:sz w:val="22"/>
          <w:szCs w:val="22"/>
        </w:rPr>
        <w:t xml:space="preserve">1) </w:t>
      </w:r>
      <w:r w:rsidRPr="00EB486E">
        <w:rPr>
          <w:i/>
          <w:iCs/>
          <w:sz w:val="22"/>
          <w:szCs w:val="22"/>
        </w:rPr>
        <w:t>General.</w:t>
      </w:r>
      <w:r w:rsidRPr="00EB486E">
        <w:rPr>
          <w:sz w:val="22"/>
          <w:szCs w:val="22"/>
        </w:rPr>
        <w:t xml:space="preserve"> Until permission to use an alternative monitoring method has been granted by the Administrator under this paragraph, the owner or operator of an affected source shall remain subject to the requirements of this section. </w:t>
      </w:r>
    </w:p>
    <w:p w:rsidR="00EB486E" w:rsidRPr="00EB486E" w:rsidRDefault="00EB486E" w:rsidP="00EB486E">
      <w:pPr>
        <w:pStyle w:val="NormalWeb"/>
        <w:rPr>
          <w:sz w:val="22"/>
          <w:szCs w:val="22"/>
        </w:rPr>
      </w:pPr>
      <w:r w:rsidRPr="00EB486E">
        <w:rPr>
          <w:sz w:val="22"/>
          <w:szCs w:val="22"/>
        </w:rPr>
        <w:t xml:space="preserve">(2) After receipt and consideration of written application, the Administrator may approve alternatives to any monitoring methods or procedures of this section including, but not limited to, the following: </w:t>
      </w:r>
    </w:p>
    <w:p w:rsidR="00EB486E" w:rsidRPr="00EB486E" w:rsidRDefault="00EB486E" w:rsidP="00EB486E">
      <w:pPr>
        <w:pStyle w:val="NormalWeb"/>
        <w:rPr>
          <w:sz w:val="22"/>
          <w:szCs w:val="22"/>
        </w:rPr>
      </w:pPr>
      <w:r w:rsidRPr="00EB486E">
        <w:rPr>
          <w:sz w:val="22"/>
          <w:szCs w:val="22"/>
        </w:rPr>
        <w:t xml:space="preserve">(i) Alternative monitoring requirements when the affected source is infrequently operated; or </w:t>
      </w:r>
    </w:p>
    <w:p w:rsidR="00EB486E" w:rsidRPr="00EB486E" w:rsidRDefault="00EB486E" w:rsidP="00EB486E">
      <w:pPr>
        <w:pStyle w:val="NormalWeb"/>
        <w:rPr>
          <w:sz w:val="22"/>
          <w:szCs w:val="22"/>
        </w:rPr>
      </w:pPr>
      <w:r w:rsidRPr="00EB486E">
        <w:rPr>
          <w:sz w:val="22"/>
          <w:szCs w:val="22"/>
        </w:rPr>
        <w:t xml:space="preserve">(ii) Alternative locations for installing continuous monitoring systems when the owner or operator can demonstrate that installation at alternate locations will enable accurate and representative measurements; or </w:t>
      </w:r>
    </w:p>
    <w:p w:rsidR="00EB486E" w:rsidRPr="00EB486E" w:rsidRDefault="00EB486E" w:rsidP="00EB486E">
      <w:pPr>
        <w:pStyle w:val="NormalWeb"/>
        <w:rPr>
          <w:sz w:val="22"/>
          <w:szCs w:val="22"/>
        </w:rPr>
      </w:pPr>
      <w:r w:rsidRPr="00EB486E">
        <w:rPr>
          <w:sz w:val="22"/>
          <w:szCs w:val="22"/>
        </w:rPr>
        <w:t xml:space="preserve">(iii) Alternatives to the American Society for Testing and Materials (ASTM) test methods or sampling procedures specified in this section. </w:t>
      </w:r>
    </w:p>
    <w:p w:rsidR="00EB486E" w:rsidRPr="00EB486E" w:rsidRDefault="00EB486E" w:rsidP="00EB486E">
      <w:pPr>
        <w:pStyle w:val="NormalWeb"/>
        <w:rPr>
          <w:sz w:val="22"/>
          <w:szCs w:val="22"/>
        </w:rPr>
      </w:pPr>
      <w:r w:rsidRPr="00EB486E">
        <w:rPr>
          <w:sz w:val="22"/>
          <w:szCs w:val="22"/>
        </w:rPr>
        <w:t xml:space="preserve">(3) If the Administrator finds reasonable grounds to dispute the results obtained by an alternative monitoring method, requirement, or procedure, the Administrator may require the use of a method, requirement, or procedure specified in this section. If the results of the specified and the alternative method, requirement, or procedure do not agree, the results obtained by the specified method, requirement, or procedure shall prevail. </w:t>
      </w:r>
    </w:p>
    <w:p w:rsidR="00EB486E" w:rsidRPr="00EB486E" w:rsidRDefault="00EB486E" w:rsidP="00EB486E">
      <w:pPr>
        <w:pStyle w:val="NormalWeb"/>
        <w:rPr>
          <w:sz w:val="22"/>
          <w:szCs w:val="22"/>
        </w:rPr>
      </w:pPr>
      <w:r w:rsidRPr="00EB486E">
        <w:rPr>
          <w:sz w:val="22"/>
          <w:szCs w:val="22"/>
        </w:rPr>
        <w:t xml:space="preserve">(4)(i) </w:t>
      </w:r>
      <w:r w:rsidRPr="00EB486E">
        <w:rPr>
          <w:i/>
          <w:iCs/>
          <w:sz w:val="22"/>
          <w:szCs w:val="22"/>
        </w:rPr>
        <w:t>Request to use alternative monitoring method.</w:t>
      </w:r>
      <w:r w:rsidRPr="00EB486E">
        <w:rPr>
          <w:sz w:val="22"/>
          <w:szCs w:val="22"/>
        </w:rPr>
        <w:t xml:space="preserve"> An owner or operator who wishes to use an alternative monitoring method shall </w:t>
      </w:r>
      <w:proofErr w:type="gramStart"/>
      <w:r w:rsidRPr="00EB486E">
        <w:rPr>
          <w:sz w:val="22"/>
          <w:szCs w:val="22"/>
        </w:rPr>
        <w:t>submit an application</w:t>
      </w:r>
      <w:proofErr w:type="gramEnd"/>
      <w:r w:rsidRPr="00EB486E">
        <w:rPr>
          <w:sz w:val="22"/>
          <w:szCs w:val="22"/>
        </w:rPr>
        <w:t xml:space="preserve"> to the Administrator as described in paragraph (e)(4)(ii) of this section. The application may be submitted at any time provided that the monitoring method is not used to demonstrate compliance with a relevant standard or other requirement. If the alternative monitoring method is to be used to demonstrate compliance with a relevant standard, the application shall be submitted not later than with the site-specific test plan required in §63.7(c) (if requested) or with the site-specific performance evaluation plan (if requested), or at least 60 days before the performance evaluation is scheduled to begin. </w:t>
      </w:r>
    </w:p>
    <w:p w:rsidR="00EB486E" w:rsidRPr="00EB486E" w:rsidRDefault="00EB486E" w:rsidP="00EB486E">
      <w:pPr>
        <w:pStyle w:val="NormalWeb"/>
        <w:rPr>
          <w:sz w:val="22"/>
          <w:szCs w:val="22"/>
        </w:rPr>
      </w:pPr>
      <w:r w:rsidRPr="00EB486E">
        <w:rPr>
          <w:sz w:val="22"/>
          <w:szCs w:val="22"/>
        </w:rPr>
        <w:t xml:space="preserve">(ii) The application shall contain a description of the proposed alternative monitoring system and information justifying the owner's or operator's request for an alternative monitoring method, such as the technical or economic infeasibility, or the impracticality, of the affected source using the required method. </w:t>
      </w:r>
    </w:p>
    <w:p w:rsidR="00EB486E" w:rsidRPr="00EB486E" w:rsidRDefault="00EB486E" w:rsidP="00EB486E">
      <w:pPr>
        <w:pStyle w:val="NormalWeb"/>
        <w:rPr>
          <w:sz w:val="22"/>
          <w:szCs w:val="22"/>
        </w:rPr>
      </w:pPr>
      <w:r w:rsidRPr="00EB486E">
        <w:rPr>
          <w:sz w:val="22"/>
          <w:szCs w:val="22"/>
        </w:rPr>
        <w:lastRenderedPageBreak/>
        <w:t xml:space="preserve">(iii) The owner or operator may submit the information required in this paragraph well in advance of the submittal dates specified in paragraph (e)(4)(i) of this section to ensure a timely review by the Administrator </w:t>
      </w:r>
      <w:proofErr w:type="gramStart"/>
      <w:r w:rsidRPr="00EB486E">
        <w:rPr>
          <w:sz w:val="22"/>
          <w:szCs w:val="22"/>
        </w:rPr>
        <w:t>in order to</w:t>
      </w:r>
      <w:proofErr w:type="gramEnd"/>
      <w:r w:rsidRPr="00EB486E">
        <w:rPr>
          <w:sz w:val="22"/>
          <w:szCs w:val="22"/>
        </w:rPr>
        <w:t xml:space="preserve"> meet the compliance demonstration date specified in this subpart. </w:t>
      </w:r>
    </w:p>
    <w:p w:rsidR="00EB486E" w:rsidRPr="00EB486E" w:rsidRDefault="00EB486E" w:rsidP="00EB486E">
      <w:pPr>
        <w:pStyle w:val="NormalWeb"/>
        <w:rPr>
          <w:sz w:val="22"/>
          <w:szCs w:val="22"/>
        </w:rPr>
      </w:pPr>
      <w:r w:rsidRPr="00EB486E">
        <w:rPr>
          <w:sz w:val="22"/>
          <w:szCs w:val="22"/>
        </w:rPr>
        <w:t xml:space="preserve">(5) </w:t>
      </w:r>
      <w:r w:rsidRPr="00EB486E">
        <w:rPr>
          <w:i/>
          <w:iCs/>
          <w:sz w:val="22"/>
          <w:szCs w:val="22"/>
        </w:rPr>
        <w:t>Approval of request to use alternative monitoring method.</w:t>
      </w:r>
      <w:r w:rsidRPr="00EB486E">
        <w:rPr>
          <w:sz w:val="22"/>
          <w:szCs w:val="22"/>
        </w:rPr>
        <w:t xml:space="preserve"> (i) The Administrator will notify the owner or operator of his/her intention to deny approval of the request to use an alternative monitoring method within 60 calendar days after receipt of the original request and within 60 calendar days after receipt of any supplementary information that is submitted. If notification of intent to deny approval is not received within 60 calendar days, the alternative monitoring method is to be considered approved. Before disapproving any request to use an alternative monitoring method, the Administrator will notify the applicant of the Administrator's intent to disapprove the request together with: </w:t>
      </w:r>
    </w:p>
    <w:p w:rsidR="00EB486E" w:rsidRPr="00EB486E" w:rsidRDefault="00EB486E" w:rsidP="00EB486E">
      <w:pPr>
        <w:pStyle w:val="NormalWeb"/>
        <w:rPr>
          <w:sz w:val="22"/>
          <w:szCs w:val="22"/>
        </w:rPr>
      </w:pPr>
      <w:r w:rsidRPr="00EB486E">
        <w:rPr>
          <w:sz w:val="22"/>
          <w:szCs w:val="22"/>
        </w:rPr>
        <w:t xml:space="preserve">(A) Notice of the information and findings on which the intended disapproval is based; and </w:t>
      </w:r>
    </w:p>
    <w:p w:rsidR="00EB486E" w:rsidRPr="00EB486E" w:rsidRDefault="00EB486E" w:rsidP="00EB486E">
      <w:pPr>
        <w:pStyle w:val="NormalWeb"/>
        <w:rPr>
          <w:sz w:val="22"/>
          <w:szCs w:val="22"/>
        </w:rPr>
      </w:pPr>
      <w:r w:rsidRPr="00EB486E">
        <w:rPr>
          <w:sz w:val="22"/>
          <w:szCs w:val="22"/>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EB486E" w:rsidRPr="00EB486E" w:rsidRDefault="00EB486E" w:rsidP="00EB486E">
      <w:pPr>
        <w:pStyle w:val="NormalWeb"/>
        <w:rPr>
          <w:sz w:val="22"/>
          <w:szCs w:val="22"/>
        </w:rPr>
      </w:pPr>
      <w:r w:rsidRPr="00EB486E">
        <w:rPr>
          <w:sz w:val="22"/>
          <w:szCs w:val="22"/>
        </w:rPr>
        <w:t xml:space="preserve">(ii) If the Administrator approves the use of an alternative monitoring method for an affected source under paragraph (e)(5)(i) of this section, the owner or operator of such source shall continue to use the alternative monitoring method until approval is received from the Administrator to use another monitoring method as allowed by paragraph (e) of this section. </w:t>
      </w:r>
    </w:p>
    <w:p w:rsidR="00EB486E" w:rsidRPr="00EB486E" w:rsidRDefault="00EB486E" w:rsidP="00EB486E">
      <w:pPr>
        <w:pStyle w:val="NormalWeb"/>
        <w:rPr>
          <w:sz w:val="22"/>
          <w:szCs w:val="22"/>
        </w:rPr>
      </w:pPr>
      <w:r w:rsidRPr="00EB486E">
        <w:rPr>
          <w:sz w:val="22"/>
          <w:szCs w:val="22"/>
        </w:rPr>
        <w:t xml:space="preserve">(f) </w:t>
      </w:r>
      <w:r w:rsidRPr="00EB486E">
        <w:rPr>
          <w:i/>
          <w:iCs/>
          <w:sz w:val="22"/>
          <w:szCs w:val="22"/>
        </w:rPr>
        <w:t>Reduction of monitoring data.</w:t>
      </w:r>
      <w:r w:rsidRPr="00EB486E">
        <w:rPr>
          <w:sz w:val="22"/>
          <w:szCs w:val="22"/>
        </w:rPr>
        <w:t xml:space="preserve"> (1) The data may be recorded in reduced or nonreduced form (e.g., parts per million (ppm) pollutant and % O</w:t>
      </w:r>
      <w:r w:rsidRPr="00EB486E">
        <w:rPr>
          <w:sz w:val="22"/>
          <w:szCs w:val="22"/>
          <w:vertAlign w:val="subscript"/>
        </w:rPr>
        <w:t>2</w:t>
      </w:r>
      <w:r w:rsidRPr="00EB486E">
        <w:rPr>
          <w:sz w:val="22"/>
          <w:szCs w:val="22"/>
        </w:rPr>
        <w:t xml:space="preserve"> or nanograms per Joule (ng/J) of pollutant). </w:t>
      </w:r>
    </w:p>
    <w:p w:rsidR="00EB486E" w:rsidRPr="00EB486E" w:rsidRDefault="00EB486E" w:rsidP="00EB486E">
      <w:pPr>
        <w:pStyle w:val="NormalWeb"/>
        <w:rPr>
          <w:sz w:val="22"/>
          <w:szCs w:val="22"/>
        </w:rPr>
      </w:pPr>
      <w:r w:rsidRPr="00EB486E">
        <w:rPr>
          <w:sz w:val="22"/>
          <w:szCs w:val="22"/>
        </w:rPr>
        <w:t xml:space="preserve">(2) All emission data shall be converted into units specified in this subpart for reporting purposes. After conversion into units specified in this subpart, the data may be rounded to the same number of significant digits as used in this subpart to specify the emission limit (e.g., rounded to the nearest 1% overall reduction efficiency). </w:t>
      </w:r>
    </w:p>
    <w:p w:rsidR="00EB486E" w:rsidRPr="00EB486E" w:rsidRDefault="00EB486E" w:rsidP="00EB486E">
      <w:pPr>
        <w:pStyle w:val="cita"/>
        <w:rPr>
          <w:sz w:val="22"/>
          <w:szCs w:val="22"/>
        </w:rPr>
      </w:pPr>
      <w:r w:rsidRPr="00EB486E">
        <w:rPr>
          <w:sz w:val="22"/>
          <w:szCs w:val="22"/>
        </w:rPr>
        <w:t>[60 FR 45956, Sept. 1, 1996, as amended at 63 FR 15023, Mar. 27, 1998; 63 FR 46534, Sept. 1, 1998; 65 FR 76945, Dec. 8, 2000; 80 FR 76186, Dec. 7, 2015]</w:t>
      </w:r>
    </w:p>
    <w:p w:rsidR="00EB486E" w:rsidRPr="00EB486E" w:rsidRDefault="00EB486E" w:rsidP="00EB486E">
      <w:pPr>
        <w:pStyle w:val="Heading2"/>
        <w:rPr>
          <w:rFonts w:ascii="Times New Roman" w:hAnsi="Times New Roman" w:cs="Times New Roman"/>
          <w:sz w:val="22"/>
          <w:szCs w:val="22"/>
        </w:rPr>
      </w:pPr>
      <w:bookmarkStart w:id="44" w:name="se40.12.63_1752"/>
      <w:bookmarkEnd w:id="44"/>
      <w:r w:rsidRPr="00EB486E">
        <w:rPr>
          <w:rFonts w:ascii="Times New Roman" w:hAnsi="Times New Roman" w:cs="Times New Roman"/>
          <w:sz w:val="22"/>
          <w:szCs w:val="22"/>
        </w:rPr>
        <w:t>§63.752   Recordkeeping requirements.</w:t>
      </w:r>
    </w:p>
    <w:p w:rsidR="00EB486E" w:rsidRPr="00EB486E" w:rsidRDefault="00EB486E" w:rsidP="00EB486E">
      <w:pPr>
        <w:pStyle w:val="NormalWeb"/>
        <w:rPr>
          <w:sz w:val="22"/>
          <w:szCs w:val="22"/>
        </w:rPr>
      </w:pPr>
      <w:r w:rsidRPr="00EB486E">
        <w:rPr>
          <w:sz w:val="22"/>
          <w:szCs w:val="22"/>
        </w:rPr>
        <w:t xml:space="preserve">(a) </w:t>
      </w:r>
      <w:r w:rsidRPr="00EB486E">
        <w:rPr>
          <w:i/>
          <w:iCs/>
          <w:sz w:val="22"/>
          <w:szCs w:val="22"/>
        </w:rPr>
        <w:t>General</w:t>
      </w:r>
      <w:r w:rsidRPr="00EB486E">
        <w:rPr>
          <w:sz w:val="22"/>
          <w:szCs w:val="22"/>
        </w:rPr>
        <w:t>. Each owner or operator of a source subject to this subpart shall fulfill all recordkeeping requirements specified in §63.10(a), (b), (d), and (f), except §63.10(b)(2)(i), (iv) and (v). Each owner or operator must also record and maintain according to §63.10(b)(1) the information specified in paragraph (a)(1) through (3) of this section.</w:t>
      </w:r>
    </w:p>
    <w:p w:rsidR="00EB486E" w:rsidRPr="00EB486E" w:rsidRDefault="00EB486E" w:rsidP="00EB486E">
      <w:pPr>
        <w:pStyle w:val="NormalWeb"/>
        <w:rPr>
          <w:sz w:val="22"/>
          <w:szCs w:val="22"/>
        </w:rPr>
      </w:pPr>
      <w:r w:rsidRPr="00EB486E">
        <w:rPr>
          <w:sz w:val="22"/>
          <w:szCs w:val="22"/>
        </w:rPr>
        <w:t xml:space="preserve">(1) </w:t>
      </w:r>
      <w:proofErr w:type="gramStart"/>
      <w:r w:rsidRPr="00EB486E">
        <w:rPr>
          <w:sz w:val="22"/>
          <w:szCs w:val="22"/>
        </w:rPr>
        <w:t>In the event that</w:t>
      </w:r>
      <w:proofErr w:type="gramEnd"/>
      <w:r w:rsidRPr="00EB486E">
        <w:rPr>
          <w:sz w:val="22"/>
          <w:szCs w:val="22"/>
        </w:rPr>
        <w:t xml:space="preserve"> an affected unit fails to meet an applicable standard, record the number of failures. For each failure record the date, time, and duration of each failure.</w:t>
      </w:r>
    </w:p>
    <w:p w:rsidR="00EB486E" w:rsidRPr="00EB486E" w:rsidRDefault="00EB486E" w:rsidP="00EB486E">
      <w:pPr>
        <w:pStyle w:val="NormalWeb"/>
        <w:rPr>
          <w:sz w:val="22"/>
          <w:szCs w:val="22"/>
        </w:rPr>
      </w:pPr>
      <w:r w:rsidRPr="00EB486E">
        <w:rPr>
          <w:sz w:val="22"/>
          <w:szCs w:val="22"/>
        </w:rPr>
        <w:t>(2) For each failure to meet an applicable standard, record and retain a list of the affected sources or equipment, an estimate of the quantity of each regulated pollutant emitted over any emission limit and a description of the method used to estimate the emissions.</w:t>
      </w:r>
    </w:p>
    <w:p w:rsidR="00EB486E" w:rsidRPr="00EB486E" w:rsidRDefault="00EB486E" w:rsidP="00EB486E">
      <w:pPr>
        <w:pStyle w:val="NormalWeb"/>
        <w:rPr>
          <w:sz w:val="22"/>
          <w:szCs w:val="22"/>
        </w:rPr>
      </w:pPr>
      <w:r w:rsidRPr="00EB486E">
        <w:rPr>
          <w:sz w:val="22"/>
          <w:szCs w:val="22"/>
        </w:rPr>
        <w:lastRenderedPageBreak/>
        <w:t>(3) Record actions taken to minimize emissions in accordance with §63.743(e), and any corrective actions taken to return the affected unit to its normal or usual manner of operation.</w:t>
      </w:r>
    </w:p>
    <w:p w:rsidR="00EB486E" w:rsidRPr="00EB486E" w:rsidRDefault="00EB486E" w:rsidP="00EB486E">
      <w:pPr>
        <w:pStyle w:val="NormalWeb"/>
        <w:rPr>
          <w:sz w:val="22"/>
          <w:szCs w:val="22"/>
        </w:rPr>
      </w:pPr>
      <w:r w:rsidRPr="00EB486E">
        <w:rPr>
          <w:sz w:val="22"/>
          <w:szCs w:val="22"/>
        </w:rPr>
        <w:t xml:space="preserve">(b) </w:t>
      </w:r>
      <w:r w:rsidRPr="00EB486E">
        <w:rPr>
          <w:i/>
          <w:iCs/>
          <w:sz w:val="22"/>
          <w:szCs w:val="22"/>
        </w:rPr>
        <w:t>Cleaning operation.</w:t>
      </w:r>
      <w:r w:rsidRPr="00EB486E">
        <w:rPr>
          <w:sz w:val="22"/>
          <w:szCs w:val="22"/>
        </w:rPr>
        <w:t xml:space="preserve"> Each owner or operator of a new or existing cleaning operation subject to this subpart shall record the information specified in paragraphs (b)(1) through (b)(5) of this section, as appropriate. </w:t>
      </w:r>
    </w:p>
    <w:p w:rsidR="00EB486E" w:rsidRPr="00EB486E" w:rsidRDefault="00EB486E" w:rsidP="00EB486E">
      <w:pPr>
        <w:pStyle w:val="NormalWeb"/>
        <w:rPr>
          <w:sz w:val="22"/>
          <w:szCs w:val="22"/>
        </w:rPr>
      </w:pPr>
      <w:r w:rsidRPr="00EB486E">
        <w:rPr>
          <w:sz w:val="22"/>
          <w:szCs w:val="22"/>
        </w:rPr>
        <w:t>(1) The name, vapor pressure, and documentation showing the organic HAP constituents of each cleaning solvent used for affected cleaning operations at the facility.</w:t>
      </w:r>
    </w:p>
    <w:p w:rsidR="00EB486E" w:rsidRPr="00EB486E" w:rsidRDefault="00EB486E" w:rsidP="00EB486E">
      <w:pPr>
        <w:pStyle w:val="NormalWeb"/>
        <w:rPr>
          <w:sz w:val="22"/>
          <w:szCs w:val="22"/>
        </w:rPr>
      </w:pPr>
      <w:r w:rsidRPr="00EB486E">
        <w:rPr>
          <w:sz w:val="22"/>
          <w:szCs w:val="22"/>
        </w:rPr>
        <w:t xml:space="preserve">(2) For each cleaning solvent used in hand-wipe cleaning operations that complies with the composition requirements specified in §63.744(b)(1) or for semi-aqueous cleaning solvents used for flush cleaning operations: </w:t>
      </w:r>
    </w:p>
    <w:p w:rsidR="00EB486E" w:rsidRPr="00EB486E" w:rsidRDefault="00EB486E" w:rsidP="00EB486E">
      <w:pPr>
        <w:pStyle w:val="NormalWeb"/>
        <w:rPr>
          <w:sz w:val="22"/>
          <w:szCs w:val="22"/>
        </w:rPr>
      </w:pPr>
      <w:r w:rsidRPr="00EB486E">
        <w:rPr>
          <w:sz w:val="22"/>
          <w:szCs w:val="22"/>
        </w:rPr>
        <w:t xml:space="preserve">(i) The name of each cleaning solvent used; </w:t>
      </w:r>
    </w:p>
    <w:p w:rsidR="00EB486E" w:rsidRPr="00EB486E" w:rsidRDefault="00EB486E" w:rsidP="00EB486E">
      <w:pPr>
        <w:pStyle w:val="NormalWeb"/>
        <w:rPr>
          <w:sz w:val="22"/>
          <w:szCs w:val="22"/>
        </w:rPr>
      </w:pPr>
      <w:r w:rsidRPr="00EB486E">
        <w:rPr>
          <w:sz w:val="22"/>
          <w:szCs w:val="22"/>
        </w:rPr>
        <w:t xml:space="preserve">(ii) All data and calculations that demonstrate that the cleaning solvent complies with one of the composition requirements; and </w:t>
      </w:r>
    </w:p>
    <w:p w:rsidR="00EB486E" w:rsidRPr="00EB486E" w:rsidRDefault="00EB486E" w:rsidP="00EB486E">
      <w:pPr>
        <w:pStyle w:val="NormalWeb"/>
        <w:rPr>
          <w:sz w:val="22"/>
          <w:szCs w:val="22"/>
        </w:rPr>
      </w:pPr>
      <w:r w:rsidRPr="00EB486E">
        <w:rPr>
          <w:sz w:val="22"/>
          <w:szCs w:val="22"/>
        </w:rPr>
        <w:t xml:space="preserve">(iii) Annual records of the volume of each solvent used, as determined from facility purchase records or usage records. </w:t>
      </w:r>
    </w:p>
    <w:p w:rsidR="00EB486E" w:rsidRPr="00EB486E" w:rsidRDefault="00EB486E" w:rsidP="00EB486E">
      <w:pPr>
        <w:pStyle w:val="NormalWeb"/>
        <w:rPr>
          <w:sz w:val="22"/>
          <w:szCs w:val="22"/>
        </w:rPr>
      </w:pPr>
      <w:r w:rsidRPr="00EB486E">
        <w:rPr>
          <w:sz w:val="22"/>
          <w:szCs w:val="22"/>
        </w:rPr>
        <w:t>(3) For each cleaning solvent used in hand-wipe cleaning operations that does not comply with the composition requirements in §63.744(b)(1), but does comply with the vapor pressure requirement in §63.744(b)(2):</w:t>
      </w:r>
    </w:p>
    <w:p w:rsidR="00EB486E" w:rsidRPr="00EB486E" w:rsidRDefault="00EB486E" w:rsidP="00EB486E">
      <w:pPr>
        <w:pStyle w:val="NormalWeb"/>
        <w:rPr>
          <w:sz w:val="22"/>
          <w:szCs w:val="22"/>
        </w:rPr>
      </w:pPr>
      <w:r w:rsidRPr="00EB486E">
        <w:rPr>
          <w:sz w:val="22"/>
          <w:szCs w:val="22"/>
        </w:rPr>
        <w:t xml:space="preserve">(i) The name of each cleaning solvent used; </w:t>
      </w:r>
    </w:p>
    <w:p w:rsidR="00EB486E" w:rsidRPr="00EB486E" w:rsidRDefault="00EB486E" w:rsidP="00EB486E">
      <w:pPr>
        <w:pStyle w:val="NormalWeb"/>
        <w:rPr>
          <w:sz w:val="22"/>
          <w:szCs w:val="22"/>
        </w:rPr>
      </w:pPr>
      <w:r w:rsidRPr="00EB486E">
        <w:rPr>
          <w:sz w:val="22"/>
          <w:szCs w:val="22"/>
        </w:rPr>
        <w:t xml:space="preserve">(ii) The composite vapor pressure of each cleaning solvent used; </w:t>
      </w:r>
    </w:p>
    <w:p w:rsidR="00EB486E" w:rsidRPr="00EB486E" w:rsidRDefault="00EB486E" w:rsidP="00EB486E">
      <w:pPr>
        <w:pStyle w:val="NormalWeb"/>
        <w:rPr>
          <w:sz w:val="22"/>
          <w:szCs w:val="22"/>
        </w:rPr>
      </w:pPr>
      <w:r w:rsidRPr="00EB486E">
        <w:rPr>
          <w:sz w:val="22"/>
          <w:szCs w:val="22"/>
        </w:rPr>
        <w:t xml:space="preserve">(iii) All vapor pressure test results, if appropriate, data, and calculations used to determine the composite vapor pressure of each cleaning solvent; and </w:t>
      </w:r>
    </w:p>
    <w:p w:rsidR="00EB486E" w:rsidRPr="00EB486E" w:rsidRDefault="00EB486E" w:rsidP="00EB486E">
      <w:pPr>
        <w:pStyle w:val="NormalWeb"/>
        <w:rPr>
          <w:sz w:val="22"/>
          <w:szCs w:val="22"/>
        </w:rPr>
      </w:pPr>
      <w:r w:rsidRPr="00EB486E">
        <w:rPr>
          <w:sz w:val="22"/>
          <w:szCs w:val="22"/>
        </w:rPr>
        <w:t xml:space="preserve">(iv) The amount (in gallons) of each cleaning solvent used each month at each operation. </w:t>
      </w:r>
    </w:p>
    <w:p w:rsidR="00EB486E" w:rsidRPr="00EB486E" w:rsidRDefault="00EB486E" w:rsidP="00EB486E">
      <w:pPr>
        <w:pStyle w:val="NormalWeb"/>
        <w:rPr>
          <w:sz w:val="22"/>
          <w:szCs w:val="22"/>
        </w:rPr>
      </w:pPr>
      <w:r w:rsidRPr="00EB486E">
        <w:rPr>
          <w:sz w:val="22"/>
          <w:szCs w:val="22"/>
        </w:rPr>
        <w:t xml:space="preserve">(4) For each cleaning solvent used for the exempt hand-wipe cleaning operations specified in §63.744(e) that does not conform to the vapor pressure or composition requirements of §63.744(b): </w:t>
      </w:r>
    </w:p>
    <w:p w:rsidR="00EB486E" w:rsidRPr="00EB486E" w:rsidRDefault="00EB486E" w:rsidP="00EB486E">
      <w:pPr>
        <w:pStyle w:val="NormalWeb"/>
        <w:rPr>
          <w:sz w:val="22"/>
          <w:szCs w:val="22"/>
        </w:rPr>
      </w:pPr>
      <w:r w:rsidRPr="00EB486E">
        <w:rPr>
          <w:sz w:val="22"/>
          <w:szCs w:val="22"/>
        </w:rPr>
        <w:t xml:space="preserve">(i) The identity and amount (in gallons) of each cleaning solvent used each month at each operation; and </w:t>
      </w:r>
    </w:p>
    <w:p w:rsidR="00EB486E" w:rsidRPr="00EB486E" w:rsidRDefault="00EB486E" w:rsidP="00EB486E">
      <w:pPr>
        <w:pStyle w:val="NormalWeb"/>
        <w:rPr>
          <w:sz w:val="22"/>
          <w:szCs w:val="22"/>
        </w:rPr>
      </w:pPr>
      <w:r w:rsidRPr="00EB486E">
        <w:rPr>
          <w:sz w:val="22"/>
          <w:szCs w:val="22"/>
        </w:rPr>
        <w:t xml:space="preserve">(ii) A list of the processes set forth in §63.744(e) to which the cleaning operation applies. </w:t>
      </w:r>
    </w:p>
    <w:p w:rsidR="00EB486E" w:rsidRPr="00EB486E" w:rsidRDefault="00EB486E" w:rsidP="00EB486E">
      <w:pPr>
        <w:pStyle w:val="NormalWeb"/>
        <w:rPr>
          <w:sz w:val="22"/>
          <w:szCs w:val="22"/>
        </w:rPr>
      </w:pPr>
      <w:r w:rsidRPr="00EB486E">
        <w:rPr>
          <w:sz w:val="22"/>
          <w:szCs w:val="22"/>
        </w:rPr>
        <w:t xml:space="preserve">(5) A record of all leaks from enclosed spray gun cleaners identified pursuant to §63.751(a) that includes for each leak found: </w:t>
      </w:r>
    </w:p>
    <w:p w:rsidR="00EB486E" w:rsidRPr="00EB486E" w:rsidRDefault="00EB486E" w:rsidP="00EB486E">
      <w:pPr>
        <w:pStyle w:val="NormalWeb"/>
        <w:rPr>
          <w:sz w:val="22"/>
          <w:szCs w:val="22"/>
        </w:rPr>
      </w:pPr>
      <w:r w:rsidRPr="00EB486E">
        <w:rPr>
          <w:sz w:val="22"/>
          <w:szCs w:val="22"/>
        </w:rPr>
        <w:t xml:space="preserve">(i) Source identification; </w:t>
      </w:r>
    </w:p>
    <w:p w:rsidR="00EB486E" w:rsidRPr="00EB486E" w:rsidRDefault="00EB486E" w:rsidP="00EB486E">
      <w:pPr>
        <w:pStyle w:val="NormalWeb"/>
        <w:rPr>
          <w:sz w:val="22"/>
          <w:szCs w:val="22"/>
        </w:rPr>
      </w:pPr>
      <w:r w:rsidRPr="00EB486E">
        <w:rPr>
          <w:sz w:val="22"/>
          <w:szCs w:val="22"/>
        </w:rPr>
        <w:t xml:space="preserve">(ii) Date leak was discovered; and </w:t>
      </w:r>
    </w:p>
    <w:p w:rsidR="00EB486E" w:rsidRPr="00EB486E" w:rsidRDefault="00EB486E" w:rsidP="00EB486E">
      <w:pPr>
        <w:pStyle w:val="NormalWeb"/>
        <w:rPr>
          <w:sz w:val="22"/>
          <w:szCs w:val="22"/>
        </w:rPr>
      </w:pPr>
      <w:r w:rsidRPr="00EB486E">
        <w:rPr>
          <w:sz w:val="22"/>
          <w:szCs w:val="22"/>
        </w:rPr>
        <w:lastRenderedPageBreak/>
        <w:t xml:space="preserve">(iii) Date leak was repaired. </w:t>
      </w:r>
    </w:p>
    <w:p w:rsidR="00EB486E" w:rsidRPr="00EB486E" w:rsidRDefault="00EB486E" w:rsidP="00EB486E">
      <w:pPr>
        <w:pStyle w:val="NormalWeb"/>
        <w:rPr>
          <w:sz w:val="22"/>
          <w:szCs w:val="22"/>
        </w:rPr>
      </w:pPr>
      <w:r w:rsidRPr="00EB486E">
        <w:rPr>
          <w:sz w:val="22"/>
          <w:szCs w:val="22"/>
        </w:rPr>
        <w:t xml:space="preserve">(c) </w:t>
      </w:r>
      <w:r w:rsidRPr="00EB486E">
        <w:rPr>
          <w:i/>
          <w:iCs/>
          <w:sz w:val="22"/>
          <w:szCs w:val="22"/>
        </w:rPr>
        <w:t>Primer, topcoat, and specialty coating application operations—organic HAP and VOC</w:t>
      </w:r>
      <w:r w:rsidRPr="00EB486E">
        <w:rPr>
          <w:sz w:val="22"/>
          <w:szCs w:val="22"/>
        </w:rPr>
        <w:t>. Each owner or operator required to comply with the organic HAP and VOC content limits specified in §63.745(c) shall record the information specified in paragraphs (c)(1) through (6) of this section, as appropriate. Each owner and operator using coating manufacturer's supplied data to demonstrate compliance with the applicable organic HAP or VOC limit specified in §63.745(c) may retain the manufacturer's documentation and annual purchase records in place of the records specified in paragraphs (c)(2) and (3) of this section. Owners and operators using the coating manufacturer's supplied data to demonstrate compliance based on the HAP content of the coating, and adding non-HAP solvent to those coatings, must also maintain records of the non-HAP solvent added to the coating.</w:t>
      </w:r>
    </w:p>
    <w:p w:rsidR="00EB486E" w:rsidRPr="00EB486E" w:rsidRDefault="00EB486E" w:rsidP="00EB486E">
      <w:pPr>
        <w:pStyle w:val="NormalWeb"/>
        <w:rPr>
          <w:sz w:val="22"/>
          <w:szCs w:val="22"/>
        </w:rPr>
      </w:pPr>
      <w:r w:rsidRPr="00EB486E">
        <w:rPr>
          <w:sz w:val="22"/>
          <w:szCs w:val="22"/>
        </w:rPr>
        <w:t>(1) The name and VOC content as received and as applied of each primer, topcoat, and specialty coating used at the facility.</w:t>
      </w:r>
    </w:p>
    <w:p w:rsidR="00EB486E" w:rsidRPr="00EB486E" w:rsidRDefault="00EB486E" w:rsidP="00EB486E">
      <w:pPr>
        <w:pStyle w:val="NormalWeb"/>
        <w:rPr>
          <w:sz w:val="22"/>
          <w:szCs w:val="22"/>
        </w:rPr>
      </w:pPr>
      <w:r w:rsidRPr="00EB486E">
        <w:rPr>
          <w:sz w:val="22"/>
          <w:szCs w:val="22"/>
        </w:rPr>
        <w:t>(2) For uncontrolled primers, topcoats, and specialty coatings that meet the organic HAP and VOC content limits in §63.745(c)(1) through (c)(6) without averaging:</w:t>
      </w:r>
    </w:p>
    <w:p w:rsidR="00EB486E" w:rsidRPr="00EB486E" w:rsidRDefault="00EB486E" w:rsidP="00EB486E">
      <w:pPr>
        <w:pStyle w:val="NormalWeb"/>
        <w:rPr>
          <w:sz w:val="22"/>
          <w:szCs w:val="22"/>
        </w:rPr>
      </w:pPr>
      <w:r w:rsidRPr="00EB486E">
        <w:rPr>
          <w:sz w:val="22"/>
          <w:szCs w:val="22"/>
        </w:rPr>
        <w:t>(i) The mass of organic HAP emitted per unit volume of coating as applied (less water) (H</w:t>
      </w:r>
      <w:r w:rsidRPr="00EB486E">
        <w:rPr>
          <w:sz w:val="22"/>
          <w:szCs w:val="22"/>
          <w:vertAlign w:val="subscript"/>
        </w:rPr>
        <w:t>i</w:t>
      </w:r>
      <w:r w:rsidRPr="00EB486E">
        <w:rPr>
          <w:sz w:val="22"/>
          <w:szCs w:val="22"/>
        </w:rPr>
        <w:t>) and the mass of VOC emitted per unit volume of coating as applied (less water and exempt solvents) (G</w:t>
      </w:r>
      <w:r w:rsidRPr="00EB486E">
        <w:rPr>
          <w:sz w:val="22"/>
          <w:szCs w:val="22"/>
          <w:vertAlign w:val="subscript"/>
        </w:rPr>
        <w:t>i</w:t>
      </w:r>
      <w:r w:rsidRPr="00EB486E">
        <w:rPr>
          <w:sz w:val="22"/>
          <w:szCs w:val="22"/>
        </w:rPr>
        <w:t xml:space="preserve">) for each coating formulation within each coating category used each month (as calculated using the procedures specified in §63.750(c) and (e)); </w:t>
      </w:r>
    </w:p>
    <w:p w:rsidR="00EB486E" w:rsidRPr="00EB486E" w:rsidRDefault="00EB486E" w:rsidP="00EB486E">
      <w:pPr>
        <w:pStyle w:val="NormalWeb"/>
        <w:rPr>
          <w:sz w:val="22"/>
          <w:szCs w:val="22"/>
        </w:rPr>
      </w:pPr>
      <w:r w:rsidRPr="00EB486E">
        <w:rPr>
          <w:sz w:val="22"/>
          <w:szCs w:val="22"/>
        </w:rPr>
        <w:t>(ii) All data, calculations, and test results (including EPA Method 24 results) used in determining the values of H</w:t>
      </w:r>
      <w:r w:rsidRPr="00EB486E">
        <w:rPr>
          <w:sz w:val="22"/>
          <w:szCs w:val="22"/>
          <w:vertAlign w:val="subscript"/>
        </w:rPr>
        <w:t>i</w:t>
      </w:r>
      <w:r w:rsidRPr="00EB486E">
        <w:rPr>
          <w:sz w:val="22"/>
          <w:szCs w:val="22"/>
        </w:rPr>
        <w:t xml:space="preserve"> and G</w:t>
      </w:r>
      <w:r w:rsidRPr="00EB486E">
        <w:rPr>
          <w:sz w:val="22"/>
          <w:szCs w:val="22"/>
          <w:vertAlign w:val="subscript"/>
        </w:rPr>
        <w:t>i</w:t>
      </w:r>
      <w:r w:rsidRPr="00EB486E">
        <w:rPr>
          <w:sz w:val="22"/>
          <w:szCs w:val="22"/>
        </w:rPr>
        <w:t xml:space="preserve">; and </w:t>
      </w:r>
    </w:p>
    <w:p w:rsidR="00EB486E" w:rsidRPr="00EB486E" w:rsidRDefault="00EB486E" w:rsidP="00EB486E">
      <w:pPr>
        <w:pStyle w:val="NormalWeb"/>
        <w:rPr>
          <w:sz w:val="22"/>
          <w:szCs w:val="22"/>
        </w:rPr>
      </w:pPr>
      <w:r w:rsidRPr="00EB486E">
        <w:rPr>
          <w:sz w:val="22"/>
          <w:szCs w:val="22"/>
        </w:rPr>
        <w:t xml:space="preserve">(iii) The volume (gal) of each coating formulation within each coating category used each month. </w:t>
      </w:r>
    </w:p>
    <w:p w:rsidR="00EB486E" w:rsidRPr="00EB486E" w:rsidRDefault="00EB486E" w:rsidP="00EB486E">
      <w:pPr>
        <w:pStyle w:val="NormalWeb"/>
        <w:rPr>
          <w:sz w:val="22"/>
          <w:szCs w:val="22"/>
        </w:rPr>
      </w:pPr>
      <w:r w:rsidRPr="00EB486E">
        <w:rPr>
          <w:sz w:val="22"/>
          <w:szCs w:val="22"/>
        </w:rPr>
        <w:t xml:space="preserve">(3) For “low HAP content” uncontrolled primers with organic HAP content less than or equal to 250 g/l (2.1 lb/gal) less water as applied and VOC content less than or equal to 250 g/l (2.1 lb/gal) less water and exempt solvents as applied: </w:t>
      </w:r>
    </w:p>
    <w:p w:rsidR="00EB486E" w:rsidRPr="00EB486E" w:rsidRDefault="00EB486E" w:rsidP="00EB486E">
      <w:pPr>
        <w:pStyle w:val="NormalWeb"/>
        <w:rPr>
          <w:sz w:val="22"/>
          <w:szCs w:val="22"/>
        </w:rPr>
      </w:pPr>
      <w:r w:rsidRPr="00EB486E">
        <w:rPr>
          <w:sz w:val="22"/>
          <w:szCs w:val="22"/>
        </w:rPr>
        <w:t xml:space="preserve">(i) Annual purchase records of the total volume of each primer purchased; and </w:t>
      </w:r>
    </w:p>
    <w:p w:rsidR="00EB486E" w:rsidRPr="00EB486E" w:rsidRDefault="00EB486E" w:rsidP="00EB486E">
      <w:pPr>
        <w:pStyle w:val="NormalWeb"/>
        <w:rPr>
          <w:sz w:val="22"/>
          <w:szCs w:val="22"/>
        </w:rPr>
      </w:pPr>
      <w:r w:rsidRPr="00EB486E">
        <w:rPr>
          <w:sz w:val="22"/>
          <w:szCs w:val="22"/>
        </w:rPr>
        <w:t>(ii) All data, calculations, and test results (including EPA Method 24 results) used in determining the organic HAP and VOC content as applied. These records shall consist of the manufacturer's certification when the primer is applied as received, or the data and calculations used to determine H</w:t>
      </w:r>
      <w:r w:rsidRPr="00EB486E">
        <w:rPr>
          <w:sz w:val="22"/>
          <w:szCs w:val="22"/>
          <w:vertAlign w:val="subscript"/>
        </w:rPr>
        <w:t>i</w:t>
      </w:r>
      <w:r w:rsidRPr="00EB486E">
        <w:rPr>
          <w:sz w:val="22"/>
          <w:szCs w:val="22"/>
        </w:rPr>
        <w:t xml:space="preserve"> if not applied as received. </w:t>
      </w:r>
    </w:p>
    <w:p w:rsidR="00EB486E" w:rsidRPr="00EB486E" w:rsidRDefault="00EB486E" w:rsidP="00EB486E">
      <w:pPr>
        <w:pStyle w:val="NormalWeb"/>
        <w:rPr>
          <w:sz w:val="22"/>
          <w:szCs w:val="22"/>
        </w:rPr>
      </w:pPr>
      <w:r w:rsidRPr="00EB486E">
        <w:rPr>
          <w:sz w:val="22"/>
          <w:szCs w:val="22"/>
        </w:rPr>
        <w:t>(4) For primers, topcoats, and specialty coatings complying with the organic HAP or VOC content level by averaging:</w:t>
      </w:r>
    </w:p>
    <w:p w:rsidR="00EB486E" w:rsidRPr="00EB486E" w:rsidRDefault="00EB486E" w:rsidP="00EB486E">
      <w:pPr>
        <w:pStyle w:val="NormalWeb"/>
        <w:rPr>
          <w:sz w:val="22"/>
          <w:szCs w:val="22"/>
        </w:rPr>
      </w:pPr>
      <w:r w:rsidRPr="00EB486E">
        <w:rPr>
          <w:sz w:val="22"/>
          <w:szCs w:val="22"/>
        </w:rPr>
        <w:t>(i) The monthly volume-weighted average masses of organic HAP emitted per unit volume of coating as applied (less water) (H</w:t>
      </w:r>
      <w:r w:rsidRPr="00EB486E">
        <w:rPr>
          <w:sz w:val="22"/>
          <w:szCs w:val="22"/>
          <w:vertAlign w:val="subscript"/>
        </w:rPr>
        <w:t>a</w:t>
      </w:r>
      <w:r w:rsidRPr="00EB486E">
        <w:rPr>
          <w:sz w:val="22"/>
          <w:szCs w:val="22"/>
        </w:rPr>
        <w:t>) and of VOC emitted per unit volume of coating as applied (less water and exempt solvents) (G</w:t>
      </w:r>
      <w:r w:rsidRPr="00EB486E">
        <w:rPr>
          <w:sz w:val="22"/>
          <w:szCs w:val="22"/>
          <w:vertAlign w:val="subscript"/>
        </w:rPr>
        <w:t>a</w:t>
      </w:r>
      <w:r w:rsidRPr="00EB486E">
        <w:rPr>
          <w:sz w:val="22"/>
          <w:szCs w:val="22"/>
        </w:rPr>
        <w:t xml:space="preserve">) for all coatings (as determined by the procedures specified in §63.750(d) and (f)); and </w:t>
      </w:r>
    </w:p>
    <w:p w:rsidR="00EB486E" w:rsidRPr="00EB486E" w:rsidRDefault="00EB486E" w:rsidP="00EB486E">
      <w:pPr>
        <w:pStyle w:val="NormalWeb"/>
        <w:rPr>
          <w:sz w:val="22"/>
          <w:szCs w:val="22"/>
        </w:rPr>
      </w:pPr>
      <w:r w:rsidRPr="00EB486E">
        <w:rPr>
          <w:sz w:val="22"/>
          <w:szCs w:val="22"/>
        </w:rPr>
        <w:t>(ii) All data, calculations, and test results (including EPA Method 24 results) used to determine the values of H</w:t>
      </w:r>
      <w:r w:rsidRPr="00EB486E">
        <w:rPr>
          <w:sz w:val="22"/>
          <w:szCs w:val="22"/>
          <w:vertAlign w:val="subscript"/>
        </w:rPr>
        <w:t>a</w:t>
      </w:r>
      <w:r w:rsidRPr="00EB486E">
        <w:rPr>
          <w:sz w:val="22"/>
          <w:szCs w:val="22"/>
        </w:rPr>
        <w:t xml:space="preserve"> and G</w:t>
      </w:r>
      <w:r w:rsidRPr="00EB486E">
        <w:rPr>
          <w:sz w:val="22"/>
          <w:szCs w:val="22"/>
          <w:vertAlign w:val="subscript"/>
        </w:rPr>
        <w:t>a</w:t>
      </w:r>
      <w:r w:rsidRPr="00EB486E">
        <w:rPr>
          <w:sz w:val="22"/>
          <w:szCs w:val="22"/>
        </w:rPr>
        <w:t xml:space="preserve">. </w:t>
      </w:r>
    </w:p>
    <w:p w:rsidR="00EB486E" w:rsidRPr="00EB486E" w:rsidRDefault="00EB486E" w:rsidP="00EB486E">
      <w:pPr>
        <w:pStyle w:val="NormalWeb"/>
        <w:rPr>
          <w:sz w:val="22"/>
          <w:szCs w:val="22"/>
        </w:rPr>
      </w:pPr>
      <w:r w:rsidRPr="00EB486E">
        <w:rPr>
          <w:sz w:val="22"/>
          <w:szCs w:val="22"/>
        </w:rPr>
        <w:lastRenderedPageBreak/>
        <w:t>(5) For primers, topcoats, and specialty coatings that are controlled by a control device other than a carbon adsorber:</w:t>
      </w:r>
    </w:p>
    <w:p w:rsidR="00EB486E" w:rsidRPr="00EB486E" w:rsidRDefault="00EB486E" w:rsidP="00EB486E">
      <w:pPr>
        <w:pStyle w:val="NormalWeb"/>
        <w:rPr>
          <w:sz w:val="22"/>
          <w:szCs w:val="22"/>
        </w:rPr>
      </w:pPr>
      <w:r w:rsidRPr="00EB486E">
        <w:rPr>
          <w:sz w:val="22"/>
          <w:szCs w:val="22"/>
        </w:rPr>
        <w:t xml:space="preserve">(i) The overall control efficiency of the control system (as determined using the procedures specified in §63.750(h)) and all test results, data, and calculations used in determining the overall control efficiency; </w:t>
      </w:r>
    </w:p>
    <w:p w:rsidR="00EB486E" w:rsidRPr="00EB486E" w:rsidRDefault="00EB486E" w:rsidP="00EB486E">
      <w:pPr>
        <w:pStyle w:val="NormalWeb"/>
        <w:rPr>
          <w:sz w:val="22"/>
          <w:szCs w:val="22"/>
        </w:rPr>
      </w:pPr>
      <w:r w:rsidRPr="00EB486E">
        <w:rPr>
          <w:sz w:val="22"/>
          <w:szCs w:val="22"/>
        </w:rPr>
        <w:t xml:space="preserve">(ii) If an incinerator other than a catalytic incinerator is used, continuous records of the firebox temperature recorded under §63.751(b)(9) and all calculated 3-hour averages of the firebox temperature; and </w:t>
      </w:r>
    </w:p>
    <w:p w:rsidR="00EB486E" w:rsidRPr="00EB486E" w:rsidRDefault="00EB486E" w:rsidP="00EB486E">
      <w:pPr>
        <w:pStyle w:val="NormalWeb"/>
        <w:rPr>
          <w:sz w:val="22"/>
          <w:szCs w:val="22"/>
        </w:rPr>
      </w:pPr>
      <w:r w:rsidRPr="00EB486E">
        <w:rPr>
          <w:sz w:val="22"/>
          <w:szCs w:val="22"/>
        </w:rPr>
        <w:t>(iii) If a catalytic incinerator is used, continuous records of the temperature recorded under §63.751(b</w:t>
      </w:r>
      <w:proofErr w:type="gramStart"/>
      <w:r w:rsidRPr="00EB486E">
        <w:rPr>
          <w:sz w:val="22"/>
          <w:szCs w:val="22"/>
        </w:rPr>
        <w:t>)(</w:t>
      </w:r>
      <w:proofErr w:type="gramEnd"/>
      <w:r w:rsidRPr="00EB486E">
        <w:rPr>
          <w:sz w:val="22"/>
          <w:szCs w:val="22"/>
        </w:rPr>
        <w:t xml:space="preserve">10) and all calculated 3-hour averages of the recorded temperatures. </w:t>
      </w:r>
    </w:p>
    <w:p w:rsidR="00EB486E" w:rsidRPr="00EB486E" w:rsidRDefault="00EB486E" w:rsidP="00EB486E">
      <w:pPr>
        <w:pStyle w:val="NormalWeb"/>
        <w:rPr>
          <w:sz w:val="22"/>
          <w:szCs w:val="22"/>
        </w:rPr>
      </w:pPr>
      <w:r w:rsidRPr="00EB486E">
        <w:rPr>
          <w:sz w:val="22"/>
          <w:szCs w:val="22"/>
        </w:rPr>
        <w:t>(6) For primers, topcoats, and specialty coatings that are controlled by a carbon adsorber:</w:t>
      </w:r>
    </w:p>
    <w:p w:rsidR="00EB486E" w:rsidRPr="00EB486E" w:rsidRDefault="00EB486E" w:rsidP="00EB486E">
      <w:pPr>
        <w:pStyle w:val="NormalWeb"/>
        <w:rPr>
          <w:sz w:val="22"/>
          <w:szCs w:val="22"/>
        </w:rPr>
      </w:pPr>
      <w:r w:rsidRPr="00EB486E">
        <w:rPr>
          <w:sz w:val="22"/>
          <w:szCs w:val="22"/>
        </w:rPr>
        <w:t xml:space="preserve">(i) The overall control efficiency of the control system (as determined using the procedures specified in §63.750(g)) and all test results, data, and calculations used in determining the overall control efficiency. The length of the rolling material balance period and all data and calculations used for determining this rolling period. The record of the certification of the accuracy of the device that measures the amount of HAP or VOC recovered; or </w:t>
      </w:r>
    </w:p>
    <w:p w:rsidR="00EB486E" w:rsidRPr="00EB486E" w:rsidRDefault="00EB486E" w:rsidP="00EB486E">
      <w:pPr>
        <w:pStyle w:val="NormalWeb"/>
        <w:rPr>
          <w:sz w:val="22"/>
          <w:szCs w:val="22"/>
        </w:rPr>
      </w:pPr>
      <w:r w:rsidRPr="00EB486E">
        <w:rPr>
          <w:sz w:val="22"/>
          <w:szCs w:val="22"/>
        </w:rPr>
        <w:t xml:space="preserve">(ii) For nonregenerative carbon adsorbers, the overall control efficiency of the control system (as determined using the procedures specified in §63.750(g)) and all test results, data, and calculations used in determining the overall control efficiency. The record of the carbon replacement time established as the site-specific operating parameter to demonstrate compliance. </w:t>
      </w:r>
    </w:p>
    <w:p w:rsidR="00EB486E" w:rsidRPr="00EB486E" w:rsidRDefault="00EB486E" w:rsidP="00EB486E">
      <w:pPr>
        <w:pStyle w:val="NormalWeb"/>
        <w:rPr>
          <w:sz w:val="22"/>
          <w:szCs w:val="22"/>
        </w:rPr>
      </w:pPr>
      <w:r w:rsidRPr="00EB486E">
        <w:rPr>
          <w:sz w:val="22"/>
          <w:szCs w:val="22"/>
        </w:rPr>
        <w:t xml:space="preserve">(d) </w:t>
      </w:r>
      <w:r w:rsidRPr="00EB486E">
        <w:rPr>
          <w:i/>
          <w:iCs/>
          <w:sz w:val="22"/>
          <w:szCs w:val="22"/>
        </w:rPr>
        <w:t>Primer, topcoat, and specialty coating application operations—inorganic HAP emissions</w:t>
      </w:r>
      <w:r w:rsidRPr="00EB486E">
        <w:rPr>
          <w:sz w:val="22"/>
          <w:szCs w:val="22"/>
        </w:rPr>
        <w:t xml:space="preserve">. (1) Each owner or operator complying with §63.745(g) for the control of inorganic HAP emissions from primer, topcoat, and specialty coating application operations </w:t>
      </w:r>
      <w:proofErr w:type="gramStart"/>
      <w:r w:rsidRPr="00EB486E">
        <w:rPr>
          <w:sz w:val="22"/>
          <w:szCs w:val="22"/>
        </w:rPr>
        <w:t>through the use of</w:t>
      </w:r>
      <w:proofErr w:type="gramEnd"/>
      <w:r w:rsidRPr="00EB486E">
        <w:rPr>
          <w:sz w:val="22"/>
          <w:szCs w:val="22"/>
        </w:rPr>
        <w:t xml:space="preserve"> a dry particulate filter system or a HEPA filter system shall record the pressure drop across the operating system once each shift during which coating operations occur.</w:t>
      </w:r>
    </w:p>
    <w:p w:rsidR="00EB486E" w:rsidRPr="00EB486E" w:rsidRDefault="00EB486E" w:rsidP="00EB486E">
      <w:pPr>
        <w:pStyle w:val="NormalWeb"/>
        <w:rPr>
          <w:sz w:val="22"/>
          <w:szCs w:val="22"/>
        </w:rPr>
      </w:pPr>
      <w:r w:rsidRPr="00EB486E">
        <w:rPr>
          <w:sz w:val="22"/>
          <w:szCs w:val="22"/>
        </w:rPr>
        <w:t xml:space="preserve">(2) Each owner or operator complying with §63.745(g) </w:t>
      </w:r>
      <w:proofErr w:type="gramStart"/>
      <w:r w:rsidRPr="00EB486E">
        <w:rPr>
          <w:sz w:val="22"/>
          <w:szCs w:val="22"/>
        </w:rPr>
        <w:t>through the use of</w:t>
      </w:r>
      <w:proofErr w:type="gramEnd"/>
      <w:r w:rsidRPr="00EB486E">
        <w:rPr>
          <w:sz w:val="22"/>
          <w:szCs w:val="22"/>
        </w:rPr>
        <w:t xml:space="preserve"> a conventional waterwash system shall record the water flow rate through the operating system once each shift during which coating operations occur. Each owner or operator complying with §63.745(g) </w:t>
      </w:r>
      <w:proofErr w:type="gramStart"/>
      <w:r w:rsidRPr="00EB486E">
        <w:rPr>
          <w:sz w:val="22"/>
          <w:szCs w:val="22"/>
        </w:rPr>
        <w:t>through the use of</w:t>
      </w:r>
      <w:proofErr w:type="gramEnd"/>
      <w:r w:rsidRPr="00EB486E">
        <w:rPr>
          <w:sz w:val="22"/>
          <w:szCs w:val="22"/>
        </w:rPr>
        <w:t xml:space="preserve"> a pumpless waterwash system shall record the parameter(s) recommended by the booth manufacturer that indicate the performance of the booth once each shift during which coating operations occur.</w:t>
      </w:r>
    </w:p>
    <w:p w:rsidR="00EB486E" w:rsidRPr="00EB486E" w:rsidRDefault="00EB486E" w:rsidP="00EB486E">
      <w:pPr>
        <w:pStyle w:val="NormalWeb"/>
        <w:rPr>
          <w:sz w:val="22"/>
          <w:szCs w:val="22"/>
        </w:rPr>
      </w:pPr>
      <w:r w:rsidRPr="00EB486E">
        <w:rPr>
          <w:sz w:val="22"/>
          <w:szCs w:val="22"/>
        </w:rPr>
        <w:t>(3) This log shall include the acceptable limit(s) of pressure drop, water flow rate, or for the pumpless waterwash booth, the booth manufacturer recommended parameter(s) that indicate the booth performance, as applicable, as specified by the filter or booth manufacturer or in locally prepared operating procedures.</w:t>
      </w:r>
    </w:p>
    <w:p w:rsidR="00EB486E" w:rsidRPr="00EB486E" w:rsidRDefault="00EB486E" w:rsidP="00EB486E">
      <w:pPr>
        <w:pStyle w:val="NormalWeb"/>
        <w:rPr>
          <w:sz w:val="22"/>
          <w:szCs w:val="22"/>
        </w:rPr>
      </w:pPr>
      <w:r w:rsidRPr="00EB486E">
        <w:rPr>
          <w:sz w:val="22"/>
          <w:szCs w:val="22"/>
        </w:rPr>
        <w:t xml:space="preserve">(e) </w:t>
      </w:r>
      <w:r w:rsidRPr="00EB486E">
        <w:rPr>
          <w:i/>
          <w:iCs/>
          <w:sz w:val="22"/>
          <w:szCs w:val="22"/>
        </w:rPr>
        <w:t>Depainting operations.</w:t>
      </w:r>
      <w:r w:rsidRPr="00EB486E">
        <w:rPr>
          <w:sz w:val="22"/>
          <w:szCs w:val="22"/>
        </w:rPr>
        <w:t xml:space="preserve"> Each owner or operator subject to the depainting standards specified in §63.746 shall record the information specified in paragraphs (e)(1) through (e)(7) of this section, as appropriate. </w:t>
      </w:r>
    </w:p>
    <w:p w:rsidR="00EB486E" w:rsidRPr="00EB486E" w:rsidRDefault="00EB486E" w:rsidP="00EB486E">
      <w:pPr>
        <w:pStyle w:val="NormalWeb"/>
        <w:rPr>
          <w:sz w:val="22"/>
          <w:szCs w:val="22"/>
        </w:rPr>
      </w:pPr>
      <w:r w:rsidRPr="00EB486E">
        <w:rPr>
          <w:sz w:val="22"/>
          <w:szCs w:val="22"/>
        </w:rPr>
        <w:t xml:space="preserve">(1) </w:t>
      </w:r>
      <w:r w:rsidRPr="00EB486E">
        <w:rPr>
          <w:i/>
          <w:iCs/>
          <w:sz w:val="22"/>
          <w:szCs w:val="22"/>
        </w:rPr>
        <w:t>General.</w:t>
      </w:r>
      <w:r w:rsidRPr="00EB486E">
        <w:rPr>
          <w:sz w:val="22"/>
          <w:szCs w:val="22"/>
        </w:rPr>
        <w:t xml:space="preserve"> For all chemical strippers used in the depainting operation: </w:t>
      </w:r>
    </w:p>
    <w:p w:rsidR="00EB486E" w:rsidRPr="00EB486E" w:rsidRDefault="00EB486E" w:rsidP="00EB486E">
      <w:pPr>
        <w:pStyle w:val="NormalWeb"/>
        <w:rPr>
          <w:sz w:val="22"/>
          <w:szCs w:val="22"/>
        </w:rPr>
      </w:pPr>
      <w:r w:rsidRPr="00EB486E">
        <w:rPr>
          <w:sz w:val="22"/>
          <w:szCs w:val="22"/>
        </w:rPr>
        <w:t xml:space="preserve">(i) The name of each chemical stripper; and </w:t>
      </w:r>
    </w:p>
    <w:p w:rsidR="00EB486E" w:rsidRPr="00EB486E" w:rsidRDefault="00EB486E" w:rsidP="00EB486E">
      <w:pPr>
        <w:pStyle w:val="NormalWeb"/>
        <w:rPr>
          <w:sz w:val="22"/>
          <w:szCs w:val="22"/>
        </w:rPr>
      </w:pPr>
      <w:r w:rsidRPr="00EB486E">
        <w:rPr>
          <w:sz w:val="22"/>
          <w:szCs w:val="22"/>
        </w:rPr>
        <w:lastRenderedPageBreak/>
        <w:t>(ii) Monthly volumes of each organic HAP containing chemical stripper used or monthly weight of organic HAP-material used for spot stripping and decal removal.</w:t>
      </w:r>
    </w:p>
    <w:p w:rsidR="00EB486E" w:rsidRPr="00EB486E" w:rsidRDefault="00EB486E" w:rsidP="00EB486E">
      <w:pPr>
        <w:pStyle w:val="NormalWeb"/>
        <w:rPr>
          <w:sz w:val="22"/>
          <w:szCs w:val="22"/>
        </w:rPr>
      </w:pPr>
      <w:r w:rsidRPr="00EB486E">
        <w:rPr>
          <w:sz w:val="22"/>
          <w:szCs w:val="22"/>
        </w:rPr>
        <w:t xml:space="preserve">(2) For HAP-containing chemical strippers that are controlled by a carbon adsorber: </w:t>
      </w:r>
    </w:p>
    <w:p w:rsidR="00EB486E" w:rsidRPr="00EB486E" w:rsidRDefault="00EB486E" w:rsidP="00EB486E">
      <w:pPr>
        <w:pStyle w:val="NormalWeb"/>
        <w:rPr>
          <w:sz w:val="22"/>
          <w:szCs w:val="22"/>
        </w:rPr>
      </w:pPr>
      <w:r w:rsidRPr="00EB486E">
        <w:rPr>
          <w:sz w:val="22"/>
          <w:szCs w:val="22"/>
        </w:rPr>
        <w:t xml:space="preserve">(i) The overall control efficiency of the control system (as determined using the procedures specified in §63.750(g)) and all test results, data, and calculations used in determining the overall control efficiency. The length of the rolling material balance period and all data and calculations used for determining this rolling period. The record of the certification of the accuracy of the device that measures the amount of HAP or VOC recovered; or </w:t>
      </w:r>
    </w:p>
    <w:p w:rsidR="00EB486E" w:rsidRPr="00EB486E" w:rsidRDefault="00EB486E" w:rsidP="00EB486E">
      <w:pPr>
        <w:pStyle w:val="NormalWeb"/>
        <w:rPr>
          <w:sz w:val="22"/>
          <w:szCs w:val="22"/>
        </w:rPr>
      </w:pPr>
      <w:r w:rsidRPr="00EB486E">
        <w:rPr>
          <w:sz w:val="22"/>
          <w:szCs w:val="22"/>
        </w:rPr>
        <w:t xml:space="preserve">(ii) For nonregenerative carbon adsorbers, the overall control efficiency of the control system (as determined using the procedures specified in §63.750(g)) and all test results, data, and calculations used in determining the overall control efficiency. The record of the carbon replacement time established as the site-specific operating parameter to demonstrate compliance. </w:t>
      </w:r>
    </w:p>
    <w:p w:rsidR="00EB486E" w:rsidRPr="00EB486E" w:rsidRDefault="00EB486E" w:rsidP="00EB486E">
      <w:pPr>
        <w:pStyle w:val="NormalWeb"/>
        <w:rPr>
          <w:sz w:val="22"/>
          <w:szCs w:val="22"/>
        </w:rPr>
      </w:pPr>
      <w:r w:rsidRPr="00EB486E">
        <w:rPr>
          <w:sz w:val="22"/>
          <w:szCs w:val="22"/>
        </w:rPr>
        <w:t xml:space="preserve">(3) For HAP-containing chemical strippers that are controlled by a control device other than a carbon adsorber: </w:t>
      </w:r>
    </w:p>
    <w:p w:rsidR="00EB486E" w:rsidRPr="00EB486E" w:rsidRDefault="00EB486E" w:rsidP="00EB486E">
      <w:pPr>
        <w:pStyle w:val="NormalWeb"/>
        <w:rPr>
          <w:sz w:val="22"/>
          <w:szCs w:val="22"/>
        </w:rPr>
      </w:pPr>
      <w:r w:rsidRPr="00EB486E">
        <w:rPr>
          <w:sz w:val="22"/>
          <w:szCs w:val="22"/>
        </w:rPr>
        <w:t xml:space="preserve">(i) The overall control efficiency of the control system (as determined using the procedures specified in §63.750(h)) and all test results, data, and calculations used in determining the overall control efficiency; </w:t>
      </w:r>
    </w:p>
    <w:p w:rsidR="00EB486E" w:rsidRPr="00EB486E" w:rsidRDefault="00EB486E" w:rsidP="00EB486E">
      <w:pPr>
        <w:pStyle w:val="NormalWeb"/>
        <w:rPr>
          <w:sz w:val="22"/>
          <w:szCs w:val="22"/>
        </w:rPr>
      </w:pPr>
      <w:r w:rsidRPr="00EB486E">
        <w:rPr>
          <w:sz w:val="22"/>
          <w:szCs w:val="22"/>
        </w:rPr>
        <w:t>(ii) [Reserved]</w:t>
      </w:r>
    </w:p>
    <w:p w:rsidR="00EB486E" w:rsidRPr="00EB486E" w:rsidRDefault="00EB486E" w:rsidP="00EB486E">
      <w:pPr>
        <w:pStyle w:val="NormalWeb"/>
        <w:rPr>
          <w:sz w:val="22"/>
          <w:szCs w:val="22"/>
        </w:rPr>
      </w:pPr>
      <w:r w:rsidRPr="00EB486E">
        <w:rPr>
          <w:sz w:val="22"/>
          <w:szCs w:val="22"/>
        </w:rPr>
        <w:t xml:space="preserve">(4) For each type of aircraft depainted at the facility, a listing of the parts, subassemblies, and assemblies normally removed from the aircraft before depainting. Prototype, test model or aircraft that exist in low numbers (i.e., less than 25 aircraft of any one type) are exempt from this requirement. </w:t>
      </w:r>
    </w:p>
    <w:p w:rsidR="00EB486E" w:rsidRPr="00EB486E" w:rsidRDefault="00EB486E" w:rsidP="00EB486E">
      <w:pPr>
        <w:pStyle w:val="NormalWeb"/>
        <w:rPr>
          <w:sz w:val="22"/>
          <w:szCs w:val="22"/>
        </w:rPr>
      </w:pPr>
      <w:r w:rsidRPr="00EB486E">
        <w:rPr>
          <w:sz w:val="22"/>
          <w:szCs w:val="22"/>
        </w:rPr>
        <w:t xml:space="preserve">(5) </w:t>
      </w:r>
      <w:r w:rsidRPr="00EB486E">
        <w:rPr>
          <w:i/>
          <w:iCs/>
          <w:sz w:val="22"/>
          <w:szCs w:val="22"/>
        </w:rPr>
        <w:t>Non-chemical based equipment.</w:t>
      </w:r>
      <w:r w:rsidRPr="00EB486E">
        <w:rPr>
          <w:sz w:val="22"/>
          <w:szCs w:val="22"/>
        </w:rPr>
        <w:t xml:space="preserve"> If dry media blasting equipment is used to comply with the organic HAP emission limit specified in §63.746(b)(1): </w:t>
      </w:r>
    </w:p>
    <w:p w:rsidR="00EB486E" w:rsidRPr="00EB486E" w:rsidRDefault="00EB486E" w:rsidP="00EB486E">
      <w:pPr>
        <w:pStyle w:val="NormalWeb"/>
        <w:rPr>
          <w:sz w:val="22"/>
          <w:szCs w:val="22"/>
        </w:rPr>
      </w:pPr>
      <w:r w:rsidRPr="00EB486E">
        <w:rPr>
          <w:sz w:val="22"/>
          <w:szCs w:val="22"/>
        </w:rPr>
        <w:t xml:space="preserve">(i) The names and types of non-chemical based equipment; and </w:t>
      </w:r>
    </w:p>
    <w:p w:rsidR="00EB486E" w:rsidRPr="00EB486E" w:rsidRDefault="00EB486E" w:rsidP="00EB486E">
      <w:pPr>
        <w:pStyle w:val="NormalWeb"/>
        <w:rPr>
          <w:sz w:val="22"/>
          <w:szCs w:val="22"/>
        </w:rPr>
      </w:pPr>
      <w:r w:rsidRPr="00EB486E">
        <w:rPr>
          <w:sz w:val="22"/>
          <w:szCs w:val="22"/>
        </w:rPr>
        <w:t xml:space="preserve">(ii) For periods of malfunction, </w:t>
      </w:r>
    </w:p>
    <w:p w:rsidR="00EB486E" w:rsidRPr="00EB486E" w:rsidRDefault="00EB486E" w:rsidP="00EB486E">
      <w:pPr>
        <w:pStyle w:val="NormalWeb"/>
        <w:rPr>
          <w:sz w:val="22"/>
          <w:szCs w:val="22"/>
        </w:rPr>
      </w:pPr>
      <w:r w:rsidRPr="00EB486E">
        <w:rPr>
          <w:sz w:val="22"/>
          <w:szCs w:val="22"/>
        </w:rPr>
        <w:t xml:space="preserve">(A) The non-chemical method or technique that malfunctioned; </w:t>
      </w:r>
    </w:p>
    <w:p w:rsidR="00EB486E" w:rsidRPr="00EB486E" w:rsidRDefault="00EB486E" w:rsidP="00EB486E">
      <w:pPr>
        <w:pStyle w:val="NormalWeb"/>
        <w:rPr>
          <w:sz w:val="22"/>
          <w:szCs w:val="22"/>
        </w:rPr>
      </w:pPr>
      <w:r w:rsidRPr="00EB486E">
        <w:rPr>
          <w:sz w:val="22"/>
          <w:szCs w:val="22"/>
        </w:rPr>
        <w:t xml:space="preserve">(B) The date that the malfunction occurred; </w:t>
      </w:r>
    </w:p>
    <w:p w:rsidR="00EB486E" w:rsidRPr="00EB486E" w:rsidRDefault="00EB486E" w:rsidP="00EB486E">
      <w:pPr>
        <w:pStyle w:val="NormalWeb"/>
        <w:rPr>
          <w:sz w:val="22"/>
          <w:szCs w:val="22"/>
        </w:rPr>
      </w:pPr>
      <w:r w:rsidRPr="00EB486E">
        <w:rPr>
          <w:sz w:val="22"/>
          <w:szCs w:val="22"/>
        </w:rPr>
        <w:t xml:space="preserve">(C) A description of the malfunction; </w:t>
      </w:r>
    </w:p>
    <w:p w:rsidR="00EB486E" w:rsidRPr="00EB486E" w:rsidRDefault="00EB486E" w:rsidP="00EB486E">
      <w:pPr>
        <w:pStyle w:val="NormalWeb"/>
        <w:rPr>
          <w:sz w:val="22"/>
          <w:szCs w:val="22"/>
        </w:rPr>
      </w:pPr>
      <w:r w:rsidRPr="00EB486E">
        <w:rPr>
          <w:sz w:val="22"/>
          <w:szCs w:val="22"/>
        </w:rPr>
        <w:t xml:space="preserve">(D) The methods used to depaint aerospace vehicles during the malfunction period; </w:t>
      </w:r>
    </w:p>
    <w:p w:rsidR="00EB486E" w:rsidRPr="00EB486E" w:rsidRDefault="00EB486E" w:rsidP="00EB486E">
      <w:pPr>
        <w:pStyle w:val="NormalWeb"/>
        <w:rPr>
          <w:sz w:val="22"/>
          <w:szCs w:val="22"/>
        </w:rPr>
      </w:pPr>
      <w:r w:rsidRPr="00EB486E">
        <w:rPr>
          <w:sz w:val="22"/>
          <w:szCs w:val="22"/>
        </w:rPr>
        <w:t xml:space="preserve">(E) The dates that these methods were begun and discontinued; and </w:t>
      </w:r>
    </w:p>
    <w:p w:rsidR="00EB486E" w:rsidRPr="00EB486E" w:rsidRDefault="00EB486E" w:rsidP="00EB486E">
      <w:pPr>
        <w:pStyle w:val="NormalWeb"/>
        <w:rPr>
          <w:sz w:val="22"/>
          <w:szCs w:val="22"/>
        </w:rPr>
      </w:pPr>
      <w:r w:rsidRPr="00EB486E">
        <w:rPr>
          <w:sz w:val="22"/>
          <w:szCs w:val="22"/>
        </w:rPr>
        <w:t xml:space="preserve">(F) The date that the malfunction was corrected. </w:t>
      </w:r>
    </w:p>
    <w:p w:rsidR="00EB486E" w:rsidRPr="00EB486E" w:rsidRDefault="00EB486E" w:rsidP="00EB486E">
      <w:pPr>
        <w:pStyle w:val="NormalWeb"/>
        <w:rPr>
          <w:sz w:val="22"/>
          <w:szCs w:val="22"/>
        </w:rPr>
      </w:pPr>
      <w:r w:rsidRPr="00EB486E">
        <w:rPr>
          <w:sz w:val="22"/>
          <w:szCs w:val="22"/>
        </w:rPr>
        <w:lastRenderedPageBreak/>
        <w:t xml:space="preserve">(6) </w:t>
      </w:r>
      <w:r w:rsidRPr="00EB486E">
        <w:rPr>
          <w:i/>
          <w:iCs/>
          <w:sz w:val="22"/>
          <w:szCs w:val="22"/>
        </w:rPr>
        <w:t>Spot stripping and decal removal.</w:t>
      </w:r>
      <w:r w:rsidRPr="00EB486E">
        <w:rPr>
          <w:sz w:val="22"/>
          <w:szCs w:val="22"/>
        </w:rPr>
        <w:t xml:space="preserve"> For spot stripping and decal removal, the volume of organic HAP-containing chemical stripper or weight of organic HAP used, the annual average volume of organic HAP-containing chemical stripper or weight of organic HAP used per aircraft, the annual number of aircraft stripped, and all data and calculations used.</w:t>
      </w:r>
    </w:p>
    <w:p w:rsidR="00EB486E" w:rsidRPr="00EB486E" w:rsidRDefault="00EB486E" w:rsidP="00EB486E">
      <w:pPr>
        <w:pStyle w:val="NormalWeb"/>
        <w:rPr>
          <w:sz w:val="22"/>
          <w:szCs w:val="22"/>
        </w:rPr>
      </w:pPr>
      <w:r w:rsidRPr="00EB486E">
        <w:rPr>
          <w:sz w:val="22"/>
          <w:szCs w:val="22"/>
        </w:rPr>
        <w:t xml:space="preserve">(7) </w:t>
      </w:r>
      <w:r w:rsidRPr="00EB486E">
        <w:rPr>
          <w:i/>
          <w:iCs/>
          <w:sz w:val="22"/>
          <w:szCs w:val="22"/>
        </w:rPr>
        <w:t>Inorganic HAP emissions.</w:t>
      </w:r>
      <w:r w:rsidRPr="00EB486E">
        <w:rPr>
          <w:sz w:val="22"/>
          <w:szCs w:val="22"/>
        </w:rPr>
        <w:t xml:space="preserve"> Each owner or operator shall record the actual pressure drop across the particulate filters or the visual continuity of the water curtain and water flow rate for conventional waterwash systems once each shift in which the depainting process is in operation. For pumpless waterwash systems, the owner or operator shall record the parameter(s) recommended by the booth manufacturer that indicate the performance of the booth once per shift in which the depainting process is in operation. This log shall include the acceptable limit(s) of the pressure drop as specified by the filter manufacturer, the visual continuity of the water curtain and the water flow rate for conventional waterwash systems, or the recommended parameter(s) that indicate the booth performance for pumpless systems as specified by the booth manufacturer or in locally prepared operating procedures.</w:t>
      </w:r>
    </w:p>
    <w:p w:rsidR="00EB486E" w:rsidRPr="00EB486E" w:rsidRDefault="00EB486E" w:rsidP="00EB486E">
      <w:pPr>
        <w:pStyle w:val="NormalWeb"/>
        <w:rPr>
          <w:sz w:val="22"/>
          <w:szCs w:val="22"/>
        </w:rPr>
      </w:pPr>
      <w:r w:rsidRPr="00EB486E">
        <w:rPr>
          <w:sz w:val="22"/>
          <w:szCs w:val="22"/>
        </w:rPr>
        <w:t xml:space="preserve">(f) </w:t>
      </w:r>
      <w:r w:rsidRPr="00EB486E">
        <w:rPr>
          <w:i/>
          <w:iCs/>
          <w:sz w:val="22"/>
          <w:szCs w:val="22"/>
        </w:rPr>
        <w:t>Chemical milling maskant application operations</w:t>
      </w:r>
      <w:r w:rsidRPr="00EB486E">
        <w:rPr>
          <w:sz w:val="22"/>
          <w:szCs w:val="22"/>
        </w:rPr>
        <w:t>. Each owner or operator seeking to comply with the organic HAP and VOC content limits for the chemical milling maskant application operation, as specified in §63.747(c), or the control system requirements specified in §63.747(d), shall record the information specified in paragraphs (f)(1) through (4) of this section, as appropriate. Each owner and operator using coating manufacturer's supplied data to demonstrate compliance with the applicable organic HAP or VOC limit specified in §63.747(c) may retain the manufacturer's documentation and annual purchase records in place of the records specified in paragraph (f)(1) of this section. Owners and operators using the coating manufacturer's supplied data to demonstrate compliance based on the HAP content of the coating, and adding non-HAP solvent to those coatings, must also maintain records of the non-HAP solvent added to the coating.</w:t>
      </w:r>
    </w:p>
    <w:p w:rsidR="00EB486E" w:rsidRPr="00EB486E" w:rsidRDefault="00EB486E" w:rsidP="00EB486E">
      <w:pPr>
        <w:pStyle w:val="NormalWeb"/>
        <w:rPr>
          <w:sz w:val="22"/>
          <w:szCs w:val="22"/>
        </w:rPr>
      </w:pPr>
      <w:r w:rsidRPr="00EB486E">
        <w:rPr>
          <w:sz w:val="22"/>
          <w:szCs w:val="22"/>
        </w:rPr>
        <w:t xml:space="preserve">(1) For uncontrolled chemical milling maskants that meet the organic HAP or VOC content limit without averaging: </w:t>
      </w:r>
    </w:p>
    <w:p w:rsidR="00EB486E" w:rsidRPr="00EB486E" w:rsidRDefault="00EB486E" w:rsidP="00EB486E">
      <w:pPr>
        <w:pStyle w:val="NormalWeb"/>
        <w:rPr>
          <w:sz w:val="22"/>
          <w:szCs w:val="22"/>
        </w:rPr>
      </w:pPr>
      <w:r w:rsidRPr="00EB486E">
        <w:rPr>
          <w:sz w:val="22"/>
          <w:szCs w:val="22"/>
        </w:rPr>
        <w:t>(i) The mass of organic HAP emitted per unit volume of chemical milling maskant as applied (less water) (H</w:t>
      </w:r>
      <w:r w:rsidRPr="00EB486E">
        <w:rPr>
          <w:sz w:val="22"/>
          <w:szCs w:val="22"/>
          <w:vertAlign w:val="subscript"/>
        </w:rPr>
        <w:t>i</w:t>
      </w:r>
      <w:r w:rsidRPr="00EB486E">
        <w:rPr>
          <w:sz w:val="22"/>
          <w:szCs w:val="22"/>
        </w:rPr>
        <w:t>) and the mass of VOC emitted per unit volume of chemical milling maskant as applied (less water and exempt solvents) (G</w:t>
      </w:r>
      <w:r w:rsidRPr="00EB486E">
        <w:rPr>
          <w:sz w:val="22"/>
          <w:szCs w:val="22"/>
          <w:vertAlign w:val="subscript"/>
        </w:rPr>
        <w:t>i</w:t>
      </w:r>
      <w:r w:rsidRPr="00EB486E">
        <w:rPr>
          <w:sz w:val="22"/>
          <w:szCs w:val="22"/>
        </w:rPr>
        <w:t xml:space="preserve">) for each chemical milling maskant formulation used each month (as determined by the procedures specified in §63.750 (k) and (m)); </w:t>
      </w:r>
    </w:p>
    <w:p w:rsidR="00EB486E" w:rsidRPr="00EB486E" w:rsidRDefault="00EB486E" w:rsidP="00EB486E">
      <w:pPr>
        <w:pStyle w:val="NormalWeb"/>
        <w:rPr>
          <w:sz w:val="22"/>
          <w:szCs w:val="22"/>
        </w:rPr>
      </w:pPr>
      <w:r w:rsidRPr="00EB486E">
        <w:rPr>
          <w:sz w:val="22"/>
          <w:szCs w:val="22"/>
        </w:rPr>
        <w:t>(ii) All data, calculations, and test results (including EPA Method 24 results) used in determining the values of H</w:t>
      </w:r>
      <w:r w:rsidRPr="00EB486E">
        <w:rPr>
          <w:sz w:val="22"/>
          <w:szCs w:val="22"/>
          <w:vertAlign w:val="subscript"/>
        </w:rPr>
        <w:t>i</w:t>
      </w:r>
      <w:r w:rsidRPr="00EB486E">
        <w:rPr>
          <w:sz w:val="22"/>
          <w:szCs w:val="22"/>
        </w:rPr>
        <w:t xml:space="preserve"> and G</w:t>
      </w:r>
      <w:r w:rsidRPr="00EB486E">
        <w:rPr>
          <w:sz w:val="22"/>
          <w:szCs w:val="22"/>
          <w:vertAlign w:val="subscript"/>
        </w:rPr>
        <w:t>i</w:t>
      </w:r>
      <w:r w:rsidRPr="00EB486E">
        <w:rPr>
          <w:sz w:val="22"/>
          <w:szCs w:val="22"/>
        </w:rPr>
        <w:t xml:space="preserve">; and </w:t>
      </w:r>
    </w:p>
    <w:p w:rsidR="00EB486E" w:rsidRPr="00EB486E" w:rsidRDefault="00EB486E" w:rsidP="00EB486E">
      <w:pPr>
        <w:pStyle w:val="NormalWeb"/>
        <w:rPr>
          <w:sz w:val="22"/>
          <w:szCs w:val="22"/>
        </w:rPr>
      </w:pPr>
      <w:r w:rsidRPr="00EB486E">
        <w:rPr>
          <w:sz w:val="22"/>
          <w:szCs w:val="22"/>
        </w:rPr>
        <w:t xml:space="preserve">(iii) The volume (gal) of each chemical milling maskant formulation used each month. </w:t>
      </w:r>
    </w:p>
    <w:p w:rsidR="00EB486E" w:rsidRPr="00EB486E" w:rsidRDefault="00EB486E" w:rsidP="00EB486E">
      <w:pPr>
        <w:pStyle w:val="NormalWeb"/>
        <w:rPr>
          <w:sz w:val="22"/>
          <w:szCs w:val="22"/>
        </w:rPr>
      </w:pPr>
      <w:r w:rsidRPr="00EB486E">
        <w:rPr>
          <w:sz w:val="22"/>
          <w:szCs w:val="22"/>
        </w:rPr>
        <w:t xml:space="preserve">(2) For chemical milling maskants complying with the organic HAP or VOC content level by averaging: </w:t>
      </w:r>
    </w:p>
    <w:p w:rsidR="00EB486E" w:rsidRPr="00EB486E" w:rsidRDefault="00EB486E" w:rsidP="00EB486E">
      <w:pPr>
        <w:pStyle w:val="NormalWeb"/>
        <w:rPr>
          <w:sz w:val="22"/>
          <w:szCs w:val="22"/>
        </w:rPr>
      </w:pPr>
      <w:r w:rsidRPr="00EB486E">
        <w:rPr>
          <w:sz w:val="22"/>
          <w:szCs w:val="22"/>
        </w:rPr>
        <w:t>(i) The monthly volume-weighted average masses of organic HAP emitted per unit volume of chemical milling maskant as applied (less water) (H</w:t>
      </w:r>
      <w:r w:rsidRPr="00EB486E">
        <w:rPr>
          <w:sz w:val="22"/>
          <w:szCs w:val="22"/>
          <w:vertAlign w:val="subscript"/>
        </w:rPr>
        <w:t>a</w:t>
      </w:r>
      <w:r w:rsidRPr="00EB486E">
        <w:rPr>
          <w:sz w:val="22"/>
          <w:szCs w:val="22"/>
        </w:rPr>
        <w:t>) and of VOC emitted per unit volume of chemical milling maskant as applied (less water and exempt solvents) (G</w:t>
      </w:r>
      <w:r w:rsidRPr="00EB486E">
        <w:rPr>
          <w:sz w:val="22"/>
          <w:szCs w:val="22"/>
          <w:vertAlign w:val="subscript"/>
        </w:rPr>
        <w:t>a</w:t>
      </w:r>
      <w:r w:rsidRPr="00EB486E">
        <w:rPr>
          <w:sz w:val="22"/>
          <w:szCs w:val="22"/>
        </w:rPr>
        <w:t xml:space="preserve">) for all chemical milling maskants (as determined by the procedures specified in §63.750 (l) and (n)); and </w:t>
      </w:r>
    </w:p>
    <w:p w:rsidR="00EB486E" w:rsidRPr="00EB486E" w:rsidRDefault="00EB486E" w:rsidP="00EB486E">
      <w:pPr>
        <w:pStyle w:val="NormalWeb"/>
        <w:rPr>
          <w:sz w:val="22"/>
          <w:szCs w:val="22"/>
        </w:rPr>
      </w:pPr>
      <w:r w:rsidRPr="00EB486E">
        <w:rPr>
          <w:sz w:val="22"/>
          <w:szCs w:val="22"/>
        </w:rPr>
        <w:t>(ii) All data, calculations, and test results (including EPA Method 24 results) used to determine the values of H</w:t>
      </w:r>
      <w:r w:rsidRPr="00EB486E">
        <w:rPr>
          <w:sz w:val="22"/>
          <w:szCs w:val="22"/>
          <w:vertAlign w:val="subscript"/>
        </w:rPr>
        <w:t>a</w:t>
      </w:r>
      <w:r w:rsidRPr="00EB486E">
        <w:rPr>
          <w:sz w:val="22"/>
          <w:szCs w:val="22"/>
        </w:rPr>
        <w:t xml:space="preserve"> and G</w:t>
      </w:r>
      <w:r w:rsidRPr="00EB486E">
        <w:rPr>
          <w:sz w:val="22"/>
          <w:szCs w:val="22"/>
          <w:vertAlign w:val="subscript"/>
        </w:rPr>
        <w:t>a</w:t>
      </w:r>
      <w:r w:rsidRPr="00EB486E">
        <w:rPr>
          <w:sz w:val="22"/>
          <w:szCs w:val="22"/>
        </w:rPr>
        <w:t xml:space="preserve">. </w:t>
      </w:r>
    </w:p>
    <w:p w:rsidR="00EB486E" w:rsidRPr="00EB486E" w:rsidRDefault="00EB486E" w:rsidP="00EB486E">
      <w:pPr>
        <w:pStyle w:val="NormalWeb"/>
        <w:rPr>
          <w:sz w:val="22"/>
          <w:szCs w:val="22"/>
        </w:rPr>
      </w:pPr>
      <w:r w:rsidRPr="00EB486E">
        <w:rPr>
          <w:sz w:val="22"/>
          <w:szCs w:val="22"/>
        </w:rPr>
        <w:lastRenderedPageBreak/>
        <w:t xml:space="preserve">(3) For chemical milling maskants that are controlled by a carbon adsorber: </w:t>
      </w:r>
    </w:p>
    <w:p w:rsidR="00EB486E" w:rsidRPr="00EB486E" w:rsidRDefault="00EB486E" w:rsidP="00EB486E">
      <w:pPr>
        <w:pStyle w:val="NormalWeb"/>
        <w:rPr>
          <w:sz w:val="22"/>
          <w:szCs w:val="22"/>
        </w:rPr>
      </w:pPr>
      <w:r w:rsidRPr="00EB486E">
        <w:rPr>
          <w:sz w:val="22"/>
          <w:szCs w:val="22"/>
        </w:rPr>
        <w:t xml:space="preserve">(i) The overall control efficiency of the control system (as determined using the procedures specified in §63.750(g)) and all test results, data, and calculations used in determining the overall control efficiency. The length of the rolling material balance period and all data and calculations used for determining this rolling period. The record of the certification of the accuracy of the device that measures the amount of HAP or VOC recovered; or </w:t>
      </w:r>
    </w:p>
    <w:p w:rsidR="00EB486E" w:rsidRPr="00EB486E" w:rsidRDefault="00EB486E" w:rsidP="00EB486E">
      <w:pPr>
        <w:pStyle w:val="NormalWeb"/>
        <w:rPr>
          <w:sz w:val="22"/>
          <w:szCs w:val="22"/>
        </w:rPr>
      </w:pPr>
      <w:r w:rsidRPr="00EB486E">
        <w:rPr>
          <w:sz w:val="22"/>
          <w:szCs w:val="22"/>
        </w:rPr>
        <w:t>(ii) For nonregenerative carbon adsorbers, the overall control efficiency of the control system (as determined using the procedures specified in §63.750(g)) and all test results, data, and calculations used in determining the overall control efficiency. The record of the carbon replacement time established as the site-specific operating parameter to demonstrate compliance.</w:t>
      </w:r>
    </w:p>
    <w:p w:rsidR="00EB486E" w:rsidRPr="00EB486E" w:rsidRDefault="00EB486E" w:rsidP="00EB486E">
      <w:pPr>
        <w:pStyle w:val="NormalWeb"/>
        <w:rPr>
          <w:sz w:val="22"/>
          <w:szCs w:val="22"/>
        </w:rPr>
      </w:pPr>
      <w:r w:rsidRPr="00EB486E">
        <w:rPr>
          <w:sz w:val="22"/>
          <w:szCs w:val="22"/>
        </w:rPr>
        <w:t xml:space="preserve">(4) For chemical milling maskants that are controlled by a control device other than a carbon adsorber: </w:t>
      </w:r>
    </w:p>
    <w:p w:rsidR="00EB486E" w:rsidRPr="00EB486E" w:rsidRDefault="00EB486E" w:rsidP="00EB486E">
      <w:pPr>
        <w:pStyle w:val="NormalWeb"/>
        <w:rPr>
          <w:sz w:val="22"/>
          <w:szCs w:val="22"/>
        </w:rPr>
      </w:pPr>
      <w:r w:rsidRPr="00EB486E">
        <w:rPr>
          <w:sz w:val="22"/>
          <w:szCs w:val="22"/>
        </w:rPr>
        <w:t xml:space="preserve">(i) The overall control efficiency of the control system (as determined using the procedures specified in §63.750(h)) and all test results, data, and calculations used in determining the overall control efficiency; </w:t>
      </w:r>
    </w:p>
    <w:p w:rsidR="00EB486E" w:rsidRPr="00EB486E" w:rsidRDefault="00EB486E" w:rsidP="00EB486E">
      <w:pPr>
        <w:pStyle w:val="NormalWeb"/>
        <w:rPr>
          <w:sz w:val="22"/>
          <w:szCs w:val="22"/>
        </w:rPr>
      </w:pPr>
      <w:r w:rsidRPr="00EB486E">
        <w:rPr>
          <w:sz w:val="22"/>
          <w:szCs w:val="22"/>
        </w:rPr>
        <w:t xml:space="preserve">(ii) If an incinerator other than a catalytic incinerator is used, continuous records of the firebox temperature recorded under §63.751(b)(9) and all calculated 3-hour averages of the firebox temperature; and </w:t>
      </w:r>
    </w:p>
    <w:p w:rsidR="00EB486E" w:rsidRPr="00EB486E" w:rsidRDefault="00EB486E" w:rsidP="00EB486E">
      <w:pPr>
        <w:pStyle w:val="NormalWeb"/>
        <w:rPr>
          <w:sz w:val="22"/>
          <w:szCs w:val="22"/>
        </w:rPr>
      </w:pPr>
      <w:r w:rsidRPr="00EB486E">
        <w:rPr>
          <w:sz w:val="22"/>
          <w:szCs w:val="22"/>
        </w:rPr>
        <w:t>(iii) If a catalytic incinerator is used, continuous records of the temperature recorded under §63.751(b</w:t>
      </w:r>
      <w:proofErr w:type="gramStart"/>
      <w:r w:rsidRPr="00EB486E">
        <w:rPr>
          <w:sz w:val="22"/>
          <w:szCs w:val="22"/>
        </w:rPr>
        <w:t>)(</w:t>
      </w:r>
      <w:proofErr w:type="gramEnd"/>
      <w:r w:rsidRPr="00EB486E">
        <w:rPr>
          <w:sz w:val="22"/>
          <w:szCs w:val="22"/>
        </w:rPr>
        <w:t>10) and all calculated 3-hour averages of the recorded temperatures.</w:t>
      </w:r>
    </w:p>
    <w:p w:rsidR="00EB486E" w:rsidRPr="00EB486E" w:rsidRDefault="00EB486E" w:rsidP="00EB486E">
      <w:pPr>
        <w:pStyle w:val="cita"/>
        <w:rPr>
          <w:sz w:val="22"/>
          <w:szCs w:val="22"/>
        </w:rPr>
      </w:pPr>
      <w:r w:rsidRPr="00EB486E">
        <w:rPr>
          <w:sz w:val="22"/>
          <w:szCs w:val="22"/>
        </w:rPr>
        <w:t>[60 FR 45956, Sept. 1, 1996, as amended at 63 FR 15023, Mar. 27, 1998; 63 FR 46534, Sept. 1, 1998; 80 FR 76187, Dec. 7, 2015]</w:t>
      </w:r>
    </w:p>
    <w:p w:rsidR="00EB486E" w:rsidRPr="00EB486E" w:rsidRDefault="00EB486E" w:rsidP="00EB486E">
      <w:pPr>
        <w:pStyle w:val="Heading2"/>
        <w:rPr>
          <w:rFonts w:ascii="Times New Roman" w:hAnsi="Times New Roman" w:cs="Times New Roman"/>
          <w:sz w:val="22"/>
          <w:szCs w:val="22"/>
        </w:rPr>
      </w:pPr>
      <w:bookmarkStart w:id="45" w:name="se40.12.63_1753"/>
      <w:bookmarkEnd w:id="45"/>
      <w:r w:rsidRPr="00EB486E">
        <w:rPr>
          <w:rFonts w:ascii="Times New Roman" w:hAnsi="Times New Roman" w:cs="Times New Roman"/>
          <w:sz w:val="22"/>
          <w:szCs w:val="22"/>
        </w:rPr>
        <w:t>§63.753   Reporting requirements.</w:t>
      </w:r>
    </w:p>
    <w:p w:rsidR="00EB486E" w:rsidRPr="00EB486E" w:rsidRDefault="00EB486E" w:rsidP="00EB486E">
      <w:pPr>
        <w:pStyle w:val="NormalWeb"/>
        <w:rPr>
          <w:sz w:val="22"/>
          <w:szCs w:val="22"/>
        </w:rPr>
      </w:pPr>
      <w:r w:rsidRPr="00EB486E">
        <w:rPr>
          <w:sz w:val="22"/>
          <w:szCs w:val="22"/>
        </w:rPr>
        <w:t>(a)(1) Except as provided in paragraphs (a)(2) through (5) of this section, each owner or operator subject to this subpart shall fulfill the requirements contained in §63.9(a) through (e) and (h) through (j), Notification requirements, and §63.10(a), (b), (d), and (f), Recordkeeping and reporting requirements, of the General Provisions, 40 CFR part 63, subpart A, and that the initial notification for existing sources required in §63.9(b)(2) shall be submitted not later than September 1, 1997, or as specified in §63.9(b)(2). In addition to the requirements of §63.9(h), the notification of compliance status shall include:</w:t>
      </w:r>
    </w:p>
    <w:p w:rsidR="00EB486E" w:rsidRPr="00EB486E" w:rsidRDefault="00EB486E" w:rsidP="00EB486E">
      <w:pPr>
        <w:pStyle w:val="NormalWeb"/>
        <w:rPr>
          <w:sz w:val="22"/>
          <w:szCs w:val="22"/>
        </w:rPr>
      </w:pPr>
      <w:r w:rsidRPr="00EB486E">
        <w:rPr>
          <w:sz w:val="22"/>
          <w:szCs w:val="22"/>
        </w:rPr>
        <w:t>(i) Information detailing whether the source has operated within the specified ranges of its designated operating parameters.</w:t>
      </w:r>
    </w:p>
    <w:p w:rsidR="00EB486E" w:rsidRPr="00EB486E" w:rsidRDefault="00EB486E" w:rsidP="00EB486E">
      <w:pPr>
        <w:pStyle w:val="NormalWeb"/>
        <w:rPr>
          <w:sz w:val="22"/>
          <w:szCs w:val="22"/>
        </w:rPr>
      </w:pPr>
      <w:r w:rsidRPr="00EB486E">
        <w:rPr>
          <w:sz w:val="22"/>
          <w:szCs w:val="22"/>
        </w:rPr>
        <w:t>(ii) For each coating line, where averaging will be used along with the types of quantities of coatings the facility expects to use in the first year of operation. Averaging scheme shall be approved by the Administrator or delegated State authority and shall be included as part of the facility's title V or part 70 permit.</w:t>
      </w:r>
    </w:p>
    <w:p w:rsidR="00EB486E" w:rsidRPr="00EB486E" w:rsidRDefault="00EB486E" w:rsidP="00EB486E">
      <w:pPr>
        <w:pStyle w:val="NormalWeb"/>
        <w:rPr>
          <w:sz w:val="22"/>
          <w:szCs w:val="22"/>
        </w:rPr>
      </w:pPr>
      <w:r w:rsidRPr="00EB486E">
        <w:rPr>
          <w:sz w:val="22"/>
          <w:szCs w:val="22"/>
        </w:rPr>
        <w:t xml:space="preserve">(2) The initial notification for existing sources, required in §63.9(b)(2) shall be submitted no later than September 1, 1997, or as specified in §63.9(b)(2). For the purposes of this subpart, a title V or part 70 permit application may be used in lieu of the initial notification required under §63.9(b)(2), provided the same information is contained in the permit application as required by §63.9(b)(2), and the State to which the permit application has been submitted has an approved operating permit program under part 70 of this chapter and has </w:t>
      </w:r>
      <w:r w:rsidRPr="00EB486E">
        <w:rPr>
          <w:sz w:val="22"/>
          <w:szCs w:val="22"/>
        </w:rPr>
        <w:lastRenderedPageBreak/>
        <w:t>received delegation of authority from the EPA. Permit applications shall be submitted by the same due dates as those specified for the initial notifications.</w:t>
      </w:r>
    </w:p>
    <w:p w:rsidR="00EB486E" w:rsidRPr="00EB486E" w:rsidRDefault="00EB486E" w:rsidP="00EB486E">
      <w:pPr>
        <w:pStyle w:val="NormalWeb"/>
        <w:rPr>
          <w:sz w:val="22"/>
          <w:szCs w:val="22"/>
        </w:rPr>
      </w:pPr>
      <w:r w:rsidRPr="00EB486E">
        <w:rPr>
          <w:sz w:val="22"/>
          <w:szCs w:val="22"/>
        </w:rPr>
        <w:t xml:space="preserve">(3) For the purposes of this subpart, the Administrator will notify the owner or operator in writing of approval or disapproval of the request for an adjustment to a particular </w:t>
      </w:r>
      <w:proofErr w:type="gramStart"/>
      <w:r w:rsidRPr="00EB486E">
        <w:rPr>
          <w:sz w:val="22"/>
          <w:szCs w:val="22"/>
        </w:rPr>
        <w:t>time period</w:t>
      </w:r>
      <w:proofErr w:type="gramEnd"/>
      <w:r w:rsidRPr="00EB486E">
        <w:rPr>
          <w:sz w:val="22"/>
          <w:szCs w:val="22"/>
        </w:rPr>
        <w:t xml:space="preserve"> or postmark deadline submitted under §63.9(i) within 30 calendar days of receiving sufficient information to evaluate the request, rather than 15 calendar days as provided for in §63.9(i)(3). </w:t>
      </w:r>
    </w:p>
    <w:p w:rsidR="00EB486E" w:rsidRPr="00EB486E" w:rsidRDefault="00EB486E" w:rsidP="00EB486E">
      <w:pPr>
        <w:pStyle w:val="NormalWeb"/>
        <w:rPr>
          <w:sz w:val="22"/>
          <w:szCs w:val="22"/>
        </w:rPr>
      </w:pPr>
      <w:r w:rsidRPr="00EB486E">
        <w:rPr>
          <w:sz w:val="22"/>
          <w:szCs w:val="22"/>
        </w:rPr>
        <w:t>(4) Each owner or operator subject to this subpart is not required to comply with §63.10(b)(2)(i), (b)(2)(iv), (b)(2)(v), and (d)(5).</w:t>
      </w:r>
    </w:p>
    <w:p w:rsidR="00EB486E" w:rsidRPr="00EB486E" w:rsidRDefault="00EB486E" w:rsidP="00EB486E">
      <w:pPr>
        <w:pStyle w:val="NormalWeb"/>
        <w:rPr>
          <w:sz w:val="22"/>
          <w:szCs w:val="22"/>
        </w:rPr>
      </w:pPr>
      <w:r w:rsidRPr="00EB486E">
        <w:rPr>
          <w:sz w:val="22"/>
          <w:szCs w:val="22"/>
        </w:rPr>
        <w:t>(5) If a source fails to meet an applicable standard specified in §§63.744 through 63.748, report such events in the semiannual report:</w:t>
      </w:r>
    </w:p>
    <w:p w:rsidR="00EB486E" w:rsidRPr="00EB486E" w:rsidRDefault="00EB486E" w:rsidP="00EB486E">
      <w:pPr>
        <w:pStyle w:val="NormalWeb"/>
        <w:rPr>
          <w:sz w:val="22"/>
          <w:szCs w:val="22"/>
        </w:rPr>
      </w:pPr>
      <w:r w:rsidRPr="00EB486E">
        <w:rPr>
          <w:sz w:val="22"/>
          <w:szCs w:val="22"/>
        </w:rPr>
        <w:t>(i) The number of failures to meet an applicable standard.</w:t>
      </w:r>
    </w:p>
    <w:p w:rsidR="00EB486E" w:rsidRPr="00EB486E" w:rsidRDefault="00EB486E" w:rsidP="00EB486E">
      <w:pPr>
        <w:pStyle w:val="NormalWeb"/>
        <w:rPr>
          <w:sz w:val="22"/>
          <w:szCs w:val="22"/>
        </w:rPr>
      </w:pPr>
      <w:r w:rsidRPr="00EB486E">
        <w:rPr>
          <w:sz w:val="22"/>
          <w:szCs w:val="22"/>
        </w:rPr>
        <w:t>(ii) For each instance, report the date, time, and duration of each failure.</w:t>
      </w:r>
    </w:p>
    <w:p w:rsidR="00EB486E" w:rsidRPr="00EB486E" w:rsidRDefault="00EB486E" w:rsidP="00EB486E">
      <w:pPr>
        <w:pStyle w:val="NormalWeb"/>
        <w:rPr>
          <w:sz w:val="22"/>
          <w:szCs w:val="22"/>
        </w:rPr>
      </w:pPr>
      <w:r w:rsidRPr="00EB486E">
        <w:rPr>
          <w:sz w:val="22"/>
          <w:szCs w:val="22"/>
        </w:rPr>
        <w:t xml:space="preserve">(iii) For each </w:t>
      </w:r>
      <w:proofErr w:type="gramStart"/>
      <w:r w:rsidRPr="00EB486E">
        <w:rPr>
          <w:sz w:val="22"/>
          <w:szCs w:val="22"/>
        </w:rPr>
        <w:t>failure</w:t>
      </w:r>
      <w:proofErr w:type="gramEnd"/>
      <w:r w:rsidRPr="00EB486E">
        <w:rPr>
          <w:sz w:val="22"/>
          <w:szCs w:val="22"/>
        </w:rPr>
        <w:t xml:space="preserve"> the report must include a list of the affected sources or equipment, an estimate of the quantity of each regulated pollutant emitted over any emission limit, and a description of the method used to estimate the emissions.</w:t>
      </w:r>
    </w:p>
    <w:p w:rsidR="00EB486E" w:rsidRPr="00EB486E" w:rsidRDefault="00EB486E" w:rsidP="00EB486E">
      <w:pPr>
        <w:pStyle w:val="NormalWeb"/>
        <w:rPr>
          <w:sz w:val="22"/>
          <w:szCs w:val="22"/>
        </w:rPr>
      </w:pPr>
      <w:r w:rsidRPr="00EB486E">
        <w:rPr>
          <w:sz w:val="22"/>
          <w:szCs w:val="22"/>
        </w:rPr>
        <w:t xml:space="preserve">(b) </w:t>
      </w:r>
      <w:r w:rsidRPr="00EB486E">
        <w:rPr>
          <w:i/>
          <w:iCs/>
          <w:sz w:val="22"/>
          <w:szCs w:val="22"/>
        </w:rPr>
        <w:t>Cleaning operation.</w:t>
      </w:r>
      <w:r w:rsidRPr="00EB486E">
        <w:rPr>
          <w:sz w:val="22"/>
          <w:szCs w:val="22"/>
        </w:rPr>
        <w:t xml:space="preserve"> Each owner or operator of a cleaning operation subject to this subpart shall submit the following information: </w:t>
      </w:r>
    </w:p>
    <w:p w:rsidR="00EB486E" w:rsidRPr="00EB486E" w:rsidRDefault="00EB486E" w:rsidP="00EB486E">
      <w:pPr>
        <w:pStyle w:val="NormalWeb"/>
        <w:rPr>
          <w:sz w:val="22"/>
          <w:szCs w:val="22"/>
        </w:rPr>
      </w:pPr>
      <w:r w:rsidRPr="00EB486E">
        <w:rPr>
          <w:sz w:val="22"/>
          <w:szCs w:val="22"/>
        </w:rPr>
        <w:t xml:space="preserve">(1) Semiannual reports occurring every 6 months from the date of the notification of compliance status that identify: </w:t>
      </w:r>
    </w:p>
    <w:p w:rsidR="00EB486E" w:rsidRPr="00EB486E" w:rsidRDefault="00EB486E" w:rsidP="00EB486E">
      <w:pPr>
        <w:pStyle w:val="NormalWeb"/>
        <w:rPr>
          <w:sz w:val="22"/>
          <w:szCs w:val="22"/>
        </w:rPr>
      </w:pPr>
      <w:r w:rsidRPr="00EB486E">
        <w:rPr>
          <w:sz w:val="22"/>
          <w:szCs w:val="22"/>
        </w:rPr>
        <w:t xml:space="preserve">(i) Any instance where a noncompliant cleaning solvent is used for a non-exempt hand-wipe cleaning operation; </w:t>
      </w:r>
    </w:p>
    <w:p w:rsidR="00EB486E" w:rsidRPr="00EB486E" w:rsidRDefault="00EB486E" w:rsidP="00EB486E">
      <w:pPr>
        <w:pStyle w:val="NormalWeb"/>
        <w:rPr>
          <w:sz w:val="22"/>
          <w:szCs w:val="22"/>
        </w:rPr>
      </w:pPr>
      <w:r w:rsidRPr="00EB486E">
        <w:rPr>
          <w:sz w:val="22"/>
          <w:szCs w:val="22"/>
        </w:rPr>
        <w:t xml:space="preserve">(ii) A list of any new cleaning solvents used for hand-wipe cleaning in the previous 6 months and, as appropriate, their composite vapor pressure or notification that they comply with the composition requirements specified in §63.744(b)(1); </w:t>
      </w:r>
    </w:p>
    <w:p w:rsidR="00EB486E" w:rsidRPr="00EB486E" w:rsidRDefault="00EB486E" w:rsidP="00EB486E">
      <w:pPr>
        <w:pStyle w:val="NormalWeb"/>
        <w:rPr>
          <w:sz w:val="22"/>
          <w:szCs w:val="22"/>
        </w:rPr>
      </w:pPr>
      <w:r w:rsidRPr="00EB486E">
        <w:rPr>
          <w:sz w:val="22"/>
          <w:szCs w:val="22"/>
        </w:rPr>
        <w:t xml:space="preserve">(iii) Any instance where a noncompliant spray gun cleaning method is used; </w:t>
      </w:r>
    </w:p>
    <w:p w:rsidR="00EB486E" w:rsidRPr="00EB486E" w:rsidRDefault="00EB486E" w:rsidP="00EB486E">
      <w:pPr>
        <w:pStyle w:val="NormalWeb"/>
        <w:rPr>
          <w:sz w:val="22"/>
          <w:szCs w:val="22"/>
        </w:rPr>
      </w:pPr>
      <w:r w:rsidRPr="00EB486E">
        <w:rPr>
          <w:sz w:val="22"/>
          <w:szCs w:val="22"/>
        </w:rPr>
        <w:t xml:space="preserve">(iv) Any instance where a leaking enclosed spray gun cleaner remains unrepaired and in use for more than 15 days; and </w:t>
      </w:r>
    </w:p>
    <w:p w:rsidR="00EB486E" w:rsidRPr="00EB486E" w:rsidRDefault="00EB486E" w:rsidP="00EB486E">
      <w:pPr>
        <w:pStyle w:val="NormalWeb"/>
        <w:rPr>
          <w:sz w:val="22"/>
          <w:szCs w:val="22"/>
        </w:rPr>
      </w:pPr>
      <w:r w:rsidRPr="00EB486E">
        <w:rPr>
          <w:sz w:val="22"/>
          <w:szCs w:val="22"/>
        </w:rPr>
        <w:t xml:space="preserve">(v) If the operations have </w:t>
      </w:r>
      <w:proofErr w:type="gramStart"/>
      <w:r w:rsidRPr="00EB486E">
        <w:rPr>
          <w:sz w:val="22"/>
          <w:szCs w:val="22"/>
        </w:rPr>
        <w:t>been in compliance</w:t>
      </w:r>
      <w:proofErr w:type="gramEnd"/>
      <w:r w:rsidRPr="00EB486E">
        <w:rPr>
          <w:sz w:val="22"/>
          <w:szCs w:val="22"/>
        </w:rPr>
        <w:t xml:space="preserve"> for the semiannual period, a statement that the cleaning operations have been in compliance with the applicable standards. Sources shall also submit a statement of compliance signed by a responsible company official certifying that the facility </w:t>
      </w:r>
      <w:proofErr w:type="gramStart"/>
      <w:r w:rsidRPr="00EB486E">
        <w:rPr>
          <w:sz w:val="22"/>
          <w:szCs w:val="22"/>
        </w:rPr>
        <w:t>is in compliance with</w:t>
      </w:r>
      <w:proofErr w:type="gramEnd"/>
      <w:r w:rsidRPr="00EB486E">
        <w:rPr>
          <w:sz w:val="22"/>
          <w:szCs w:val="22"/>
        </w:rPr>
        <w:t xml:space="preserve"> all applicable requirements. </w:t>
      </w:r>
    </w:p>
    <w:p w:rsidR="00EB486E" w:rsidRPr="00EB486E" w:rsidRDefault="00EB486E" w:rsidP="00EB486E">
      <w:pPr>
        <w:pStyle w:val="NormalWeb"/>
        <w:rPr>
          <w:sz w:val="22"/>
          <w:szCs w:val="22"/>
        </w:rPr>
      </w:pPr>
      <w:r w:rsidRPr="00EB486E">
        <w:rPr>
          <w:sz w:val="22"/>
          <w:szCs w:val="22"/>
        </w:rPr>
        <w:t xml:space="preserve">(c) </w:t>
      </w:r>
      <w:r w:rsidRPr="00EB486E">
        <w:rPr>
          <w:i/>
          <w:iCs/>
          <w:sz w:val="22"/>
          <w:szCs w:val="22"/>
        </w:rPr>
        <w:t>Primer, topcoat, and specialty coating application operations.</w:t>
      </w:r>
      <w:r w:rsidRPr="00EB486E">
        <w:rPr>
          <w:sz w:val="22"/>
          <w:szCs w:val="22"/>
        </w:rPr>
        <w:t xml:space="preserve"> Each owner or operator of a primer or topcoat application operation subject to this subpart shall submit the following information:</w:t>
      </w:r>
    </w:p>
    <w:p w:rsidR="00EB486E" w:rsidRPr="00EB486E" w:rsidRDefault="00EB486E" w:rsidP="00EB486E">
      <w:pPr>
        <w:pStyle w:val="NormalWeb"/>
        <w:rPr>
          <w:sz w:val="22"/>
          <w:szCs w:val="22"/>
        </w:rPr>
      </w:pPr>
      <w:r w:rsidRPr="00EB486E">
        <w:rPr>
          <w:sz w:val="22"/>
          <w:szCs w:val="22"/>
        </w:rPr>
        <w:lastRenderedPageBreak/>
        <w:t xml:space="preserve">(1) Semiannual reports occurring every 6 months from the date of the notification of compliance status that identify: </w:t>
      </w:r>
    </w:p>
    <w:p w:rsidR="00EB486E" w:rsidRPr="00EB486E" w:rsidRDefault="00EB486E" w:rsidP="00EB486E">
      <w:pPr>
        <w:pStyle w:val="NormalWeb"/>
        <w:rPr>
          <w:sz w:val="22"/>
          <w:szCs w:val="22"/>
        </w:rPr>
      </w:pPr>
      <w:r w:rsidRPr="00EB486E">
        <w:rPr>
          <w:sz w:val="22"/>
          <w:szCs w:val="22"/>
        </w:rPr>
        <w:t xml:space="preserve">(i) For primers, topcoats, and specialty coatings where compliance is not being achieved </w:t>
      </w:r>
      <w:proofErr w:type="gramStart"/>
      <w:r w:rsidRPr="00EB486E">
        <w:rPr>
          <w:sz w:val="22"/>
          <w:szCs w:val="22"/>
        </w:rPr>
        <w:t>through the use of</w:t>
      </w:r>
      <w:proofErr w:type="gramEnd"/>
      <w:r w:rsidRPr="00EB486E">
        <w:rPr>
          <w:sz w:val="22"/>
          <w:szCs w:val="22"/>
        </w:rPr>
        <w:t xml:space="preserve"> averaging or a control device, the HAP or VOC content in manufacturer's supplied data as recorded under §63.752(c), or each value of H</w:t>
      </w:r>
      <w:r w:rsidRPr="00EB486E">
        <w:rPr>
          <w:sz w:val="22"/>
          <w:szCs w:val="22"/>
          <w:vertAlign w:val="subscript"/>
        </w:rPr>
        <w:t>i</w:t>
      </w:r>
      <w:r w:rsidRPr="00EB486E">
        <w:rPr>
          <w:sz w:val="22"/>
          <w:szCs w:val="22"/>
        </w:rPr>
        <w:t xml:space="preserve"> and G</w:t>
      </w:r>
      <w:r w:rsidRPr="00EB486E">
        <w:rPr>
          <w:sz w:val="22"/>
          <w:szCs w:val="22"/>
          <w:vertAlign w:val="subscript"/>
        </w:rPr>
        <w:t>i</w:t>
      </w:r>
      <w:r w:rsidRPr="00EB486E">
        <w:rPr>
          <w:sz w:val="22"/>
          <w:szCs w:val="22"/>
        </w:rPr>
        <w:t>, as recorded under §63.752(c)(2)(i), that exceeds the applicable organic HAP or VOC content limit specified in §63.745(c);</w:t>
      </w:r>
    </w:p>
    <w:p w:rsidR="00EB486E" w:rsidRPr="00EB486E" w:rsidRDefault="00EB486E" w:rsidP="00EB486E">
      <w:pPr>
        <w:pStyle w:val="NormalWeb"/>
        <w:rPr>
          <w:sz w:val="22"/>
          <w:szCs w:val="22"/>
        </w:rPr>
      </w:pPr>
      <w:r w:rsidRPr="00EB486E">
        <w:rPr>
          <w:sz w:val="22"/>
          <w:szCs w:val="22"/>
        </w:rPr>
        <w:t xml:space="preserve">(ii) For primers, topcoats, and specialty coatings where compliance is being achieved </w:t>
      </w:r>
      <w:proofErr w:type="gramStart"/>
      <w:r w:rsidRPr="00EB486E">
        <w:rPr>
          <w:sz w:val="22"/>
          <w:szCs w:val="22"/>
        </w:rPr>
        <w:t>through the use of</w:t>
      </w:r>
      <w:proofErr w:type="gramEnd"/>
      <w:r w:rsidRPr="00EB486E">
        <w:rPr>
          <w:sz w:val="22"/>
          <w:szCs w:val="22"/>
        </w:rPr>
        <w:t xml:space="preserve"> averaging, each value of H</w:t>
      </w:r>
      <w:r w:rsidRPr="00EB486E">
        <w:rPr>
          <w:sz w:val="22"/>
          <w:szCs w:val="22"/>
          <w:vertAlign w:val="subscript"/>
        </w:rPr>
        <w:t>a</w:t>
      </w:r>
      <w:r w:rsidRPr="00EB486E">
        <w:rPr>
          <w:sz w:val="22"/>
          <w:szCs w:val="22"/>
        </w:rPr>
        <w:t xml:space="preserve"> and G</w:t>
      </w:r>
      <w:r w:rsidRPr="00EB486E">
        <w:rPr>
          <w:sz w:val="22"/>
          <w:szCs w:val="22"/>
          <w:vertAlign w:val="subscript"/>
        </w:rPr>
        <w:t>a</w:t>
      </w:r>
      <w:r w:rsidRPr="00EB486E">
        <w:rPr>
          <w:sz w:val="22"/>
          <w:szCs w:val="22"/>
        </w:rPr>
        <w:t>, as recorded under §63.752(c)(4)(i), that exceeds the applicable organic HAP or VOC content limit specified in §63.745(c);</w:t>
      </w:r>
    </w:p>
    <w:p w:rsidR="00EB486E" w:rsidRPr="00EB486E" w:rsidRDefault="00EB486E" w:rsidP="00EB486E">
      <w:pPr>
        <w:pStyle w:val="NormalWeb"/>
        <w:rPr>
          <w:sz w:val="22"/>
          <w:szCs w:val="22"/>
        </w:rPr>
      </w:pPr>
      <w:r w:rsidRPr="00EB486E">
        <w:rPr>
          <w:sz w:val="22"/>
          <w:szCs w:val="22"/>
        </w:rPr>
        <w:t xml:space="preserve">(iii) If incinerators are used to comply with the standards, all periods when the 3-hour average combustion temperature(s) is (are) less than the average combustion temperature(s) established under §63.751(b) (11) or (12) during the most recent performance test during which compliance was demonstrated; </w:t>
      </w:r>
    </w:p>
    <w:p w:rsidR="00EB486E" w:rsidRPr="00EB486E" w:rsidRDefault="00EB486E" w:rsidP="00EB486E">
      <w:pPr>
        <w:pStyle w:val="NormalWeb"/>
        <w:rPr>
          <w:sz w:val="22"/>
          <w:szCs w:val="22"/>
        </w:rPr>
      </w:pPr>
      <w:r w:rsidRPr="00EB486E">
        <w:rPr>
          <w:sz w:val="22"/>
          <w:szCs w:val="22"/>
        </w:rPr>
        <w:t xml:space="preserve">(iv) If a carbon adsorber is used; </w:t>
      </w:r>
    </w:p>
    <w:p w:rsidR="00EB486E" w:rsidRPr="00EB486E" w:rsidRDefault="00EB486E" w:rsidP="00EB486E">
      <w:pPr>
        <w:pStyle w:val="NormalWeb"/>
        <w:rPr>
          <w:sz w:val="22"/>
          <w:szCs w:val="22"/>
        </w:rPr>
      </w:pPr>
      <w:r w:rsidRPr="00EB486E">
        <w:rPr>
          <w:sz w:val="22"/>
          <w:szCs w:val="22"/>
        </w:rPr>
        <w:t xml:space="preserve">(A) each rolling period when the overall control efficiency of the control system is calculated to be less than 81%, the initial material balance calculation, and any exceedances as demonstrated through the calculation; or, </w:t>
      </w:r>
    </w:p>
    <w:p w:rsidR="00EB486E" w:rsidRPr="00EB486E" w:rsidRDefault="00EB486E" w:rsidP="00EB486E">
      <w:pPr>
        <w:pStyle w:val="NormalWeb"/>
        <w:rPr>
          <w:sz w:val="22"/>
          <w:szCs w:val="22"/>
        </w:rPr>
      </w:pPr>
      <w:r w:rsidRPr="00EB486E">
        <w:rPr>
          <w:sz w:val="22"/>
          <w:szCs w:val="22"/>
        </w:rPr>
        <w:t xml:space="preserve">(B) for nonregenerative carbon adsorbers, submit the design evaluation, the continuous monitoring system performance report, and any excess emissions as demonstrated through deviations of monitored values. </w:t>
      </w:r>
    </w:p>
    <w:p w:rsidR="00EB486E" w:rsidRPr="00EB486E" w:rsidRDefault="00EB486E" w:rsidP="00EB486E">
      <w:pPr>
        <w:pStyle w:val="NormalWeb"/>
        <w:rPr>
          <w:sz w:val="22"/>
          <w:szCs w:val="22"/>
        </w:rPr>
      </w:pPr>
      <w:r w:rsidRPr="00EB486E">
        <w:rPr>
          <w:sz w:val="22"/>
          <w:szCs w:val="22"/>
        </w:rPr>
        <w:t xml:space="preserve">(v) For control </w:t>
      </w:r>
      <w:proofErr w:type="gramStart"/>
      <w:r w:rsidRPr="00EB486E">
        <w:rPr>
          <w:sz w:val="22"/>
          <w:szCs w:val="22"/>
        </w:rPr>
        <w:t>devices</w:t>
      </w:r>
      <w:proofErr w:type="gramEnd"/>
      <w:r w:rsidRPr="00EB486E">
        <w:rPr>
          <w:sz w:val="22"/>
          <w:szCs w:val="22"/>
        </w:rPr>
        <w:t xml:space="preserve"> other than an incinerator or carbon adsorber, each exceedance of the operating parameter(s) established for the control device under the initial performance test during which compliance was demonstrated; </w:t>
      </w:r>
    </w:p>
    <w:p w:rsidR="00EB486E" w:rsidRPr="00EB486E" w:rsidRDefault="00EB486E" w:rsidP="00EB486E">
      <w:pPr>
        <w:pStyle w:val="NormalWeb"/>
        <w:rPr>
          <w:sz w:val="22"/>
          <w:szCs w:val="22"/>
        </w:rPr>
      </w:pPr>
      <w:r w:rsidRPr="00EB486E">
        <w:rPr>
          <w:sz w:val="22"/>
          <w:szCs w:val="22"/>
        </w:rPr>
        <w:t>(vi) All times when a primer or topcoat application operation was not immediately shut down when the pressure drop across a dry particulate filter or HEPA filter system, the water flow rate through a conventional waterwash system, or the recommended parameter(s) that indicate the booth performance for pumpless systems, as appropriate, was outside the limit(s) specified by the filter or booth manufacturer or in locally prepared operating procedures;</w:t>
      </w:r>
    </w:p>
    <w:p w:rsidR="00EB486E" w:rsidRPr="00EB486E" w:rsidRDefault="00EB486E" w:rsidP="00EB486E">
      <w:pPr>
        <w:pStyle w:val="NormalWeb"/>
        <w:rPr>
          <w:sz w:val="22"/>
          <w:szCs w:val="22"/>
        </w:rPr>
      </w:pPr>
      <w:r w:rsidRPr="00EB486E">
        <w:rPr>
          <w:sz w:val="22"/>
          <w:szCs w:val="22"/>
        </w:rPr>
        <w:t xml:space="preserve">(vii) If the operations have </w:t>
      </w:r>
      <w:proofErr w:type="gramStart"/>
      <w:r w:rsidRPr="00EB486E">
        <w:rPr>
          <w:sz w:val="22"/>
          <w:szCs w:val="22"/>
        </w:rPr>
        <w:t>been in compliance</w:t>
      </w:r>
      <w:proofErr w:type="gramEnd"/>
      <w:r w:rsidRPr="00EB486E">
        <w:rPr>
          <w:sz w:val="22"/>
          <w:szCs w:val="22"/>
        </w:rPr>
        <w:t xml:space="preserve"> for the semiannual period, a statement that the operations have been in compliance with the applicable standards; and, </w:t>
      </w:r>
    </w:p>
    <w:p w:rsidR="00EB486E" w:rsidRPr="00EB486E" w:rsidRDefault="00EB486E" w:rsidP="00EB486E">
      <w:pPr>
        <w:pStyle w:val="NormalWeb"/>
        <w:rPr>
          <w:sz w:val="22"/>
          <w:szCs w:val="22"/>
        </w:rPr>
      </w:pPr>
      <w:r w:rsidRPr="00EB486E">
        <w:rPr>
          <w:sz w:val="22"/>
          <w:szCs w:val="22"/>
        </w:rPr>
        <w:t xml:space="preserve">(2) Annual reports beginning 12 months after the date of the notification of compliance status listing the number of times the pressure drop or water flow rate for each dry filter or waterwash system, as applicable, was outside the limit(s) specified by the filter or booth manufacturer or in locally prepared operating procedures. </w:t>
      </w:r>
    </w:p>
    <w:p w:rsidR="00EB486E" w:rsidRPr="00EB486E" w:rsidRDefault="00EB486E" w:rsidP="00EB486E">
      <w:pPr>
        <w:pStyle w:val="NormalWeb"/>
        <w:rPr>
          <w:sz w:val="22"/>
          <w:szCs w:val="22"/>
        </w:rPr>
      </w:pPr>
      <w:r w:rsidRPr="00EB486E">
        <w:rPr>
          <w:sz w:val="22"/>
          <w:szCs w:val="22"/>
        </w:rPr>
        <w:t xml:space="preserve">(d) </w:t>
      </w:r>
      <w:r w:rsidRPr="00EB486E">
        <w:rPr>
          <w:i/>
          <w:iCs/>
          <w:sz w:val="22"/>
          <w:szCs w:val="22"/>
        </w:rPr>
        <w:t>Depainting operation.</w:t>
      </w:r>
      <w:r w:rsidRPr="00EB486E">
        <w:rPr>
          <w:sz w:val="22"/>
          <w:szCs w:val="22"/>
        </w:rPr>
        <w:t xml:space="preserve"> Each owner or operator of a depainting operation subject to this subpart shall submit the following information: </w:t>
      </w:r>
    </w:p>
    <w:p w:rsidR="00EB486E" w:rsidRPr="00EB486E" w:rsidRDefault="00EB486E" w:rsidP="00EB486E">
      <w:pPr>
        <w:pStyle w:val="NormalWeb"/>
        <w:rPr>
          <w:sz w:val="22"/>
          <w:szCs w:val="22"/>
        </w:rPr>
      </w:pPr>
      <w:r w:rsidRPr="00EB486E">
        <w:rPr>
          <w:sz w:val="22"/>
          <w:szCs w:val="22"/>
        </w:rPr>
        <w:t xml:space="preserve">(1) Semiannual reports occurring every 6 months from the date of the notification of compliance status that identify: </w:t>
      </w:r>
    </w:p>
    <w:p w:rsidR="00EB486E" w:rsidRPr="00EB486E" w:rsidRDefault="00EB486E" w:rsidP="00EB486E">
      <w:pPr>
        <w:pStyle w:val="NormalWeb"/>
        <w:rPr>
          <w:sz w:val="22"/>
          <w:szCs w:val="22"/>
        </w:rPr>
      </w:pPr>
      <w:r w:rsidRPr="00EB486E">
        <w:rPr>
          <w:sz w:val="22"/>
          <w:szCs w:val="22"/>
        </w:rPr>
        <w:lastRenderedPageBreak/>
        <w:t xml:space="preserve">(i) Any 24-hour period where organic HAP </w:t>
      </w:r>
      <w:proofErr w:type="gramStart"/>
      <w:r w:rsidRPr="00EB486E">
        <w:rPr>
          <w:sz w:val="22"/>
          <w:szCs w:val="22"/>
        </w:rPr>
        <w:t>were</w:t>
      </w:r>
      <w:proofErr w:type="gramEnd"/>
      <w:r w:rsidRPr="00EB486E">
        <w:rPr>
          <w:sz w:val="22"/>
          <w:szCs w:val="22"/>
        </w:rPr>
        <w:t xml:space="preserve"> emitted from the depainting of aerospace vehicles, other than from the exempt operations listed in §63.746 (a), (b)(3), and (b)(5). </w:t>
      </w:r>
    </w:p>
    <w:p w:rsidR="00EB486E" w:rsidRPr="00EB486E" w:rsidRDefault="00EB486E" w:rsidP="00EB486E">
      <w:pPr>
        <w:pStyle w:val="NormalWeb"/>
        <w:rPr>
          <w:sz w:val="22"/>
          <w:szCs w:val="22"/>
        </w:rPr>
      </w:pPr>
      <w:r w:rsidRPr="00EB486E">
        <w:rPr>
          <w:sz w:val="22"/>
          <w:szCs w:val="22"/>
        </w:rPr>
        <w:t xml:space="preserve">(ii) Any new chemical strippers used at the facility during the reporting period; </w:t>
      </w:r>
    </w:p>
    <w:p w:rsidR="00EB486E" w:rsidRPr="00EB486E" w:rsidRDefault="00EB486E" w:rsidP="00EB486E">
      <w:pPr>
        <w:pStyle w:val="NormalWeb"/>
        <w:rPr>
          <w:sz w:val="22"/>
          <w:szCs w:val="22"/>
        </w:rPr>
      </w:pPr>
      <w:r w:rsidRPr="00EB486E">
        <w:rPr>
          <w:sz w:val="22"/>
          <w:szCs w:val="22"/>
        </w:rPr>
        <w:t xml:space="preserve">(iii) The organic HAP content of these new chemical strippers; </w:t>
      </w:r>
    </w:p>
    <w:p w:rsidR="00EB486E" w:rsidRPr="00EB486E" w:rsidRDefault="00EB486E" w:rsidP="00EB486E">
      <w:pPr>
        <w:pStyle w:val="NormalWeb"/>
        <w:rPr>
          <w:sz w:val="22"/>
          <w:szCs w:val="22"/>
        </w:rPr>
      </w:pPr>
      <w:r w:rsidRPr="00EB486E">
        <w:rPr>
          <w:sz w:val="22"/>
          <w:szCs w:val="22"/>
        </w:rPr>
        <w:t xml:space="preserve">(iv) For each chemical stripper that undergoes reformulation, its organic HAP content; </w:t>
      </w:r>
    </w:p>
    <w:p w:rsidR="00EB486E" w:rsidRPr="00EB486E" w:rsidRDefault="00EB486E" w:rsidP="00EB486E">
      <w:pPr>
        <w:pStyle w:val="NormalWeb"/>
        <w:rPr>
          <w:sz w:val="22"/>
          <w:szCs w:val="22"/>
        </w:rPr>
      </w:pPr>
      <w:r w:rsidRPr="00EB486E">
        <w:rPr>
          <w:sz w:val="22"/>
          <w:szCs w:val="22"/>
        </w:rPr>
        <w:t xml:space="preserve">(v) Any new non-chemical depainting technique in use at the facility since the notification of compliance status or any subsequent semiannual report was filed; </w:t>
      </w:r>
    </w:p>
    <w:p w:rsidR="00EB486E" w:rsidRPr="00EB486E" w:rsidRDefault="00EB486E" w:rsidP="00EB486E">
      <w:pPr>
        <w:pStyle w:val="NormalWeb"/>
        <w:rPr>
          <w:sz w:val="22"/>
          <w:szCs w:val="22"/>
        </w:rPr>
      </w:pPr>
      <w:r w:rsidRPr="00EB486E">
        <w:rPr>
          <w:sz w:val="22"/>
          <w:szCs w:val="22"/>
        </w:rPr>
        <w:t xml:space="preserve">(vi) For periods of malfunctions: </w:t>
      </w:r>
    </w:p>
    <w:p w:rsidR="00EB486E" w:rsidRPr="00EB486E" w:rsidRDefault="00EB486E" w:rsidP="00EB486E">
      <w:pPr>
        <w:pStyle w:val="NormalWeb"/>
        <w:rPr>
          <w:sz w:val="22"/>
          <w:szCs w:val="22"/>
        </w:rPr>
      </w:pPr>
      <w:r w:rsidRPr="00EB486E">
        <w:rPr>
          <w:sz w:val="22"/>
          <w:szCs w:val="22"/>
        </w:rPr>
        <w:t xml:space="preserve">(A) The non-chemical method or technique that malfunctioned; </w:t>
      </w:r>
    </w:p>
    <w:p w:rsidR="00EB486E" w:rsidRPr="00EB486E" w:rsidRDefault="00EB486E" w:rsidP="00EB486E">
      <w:pPr>
        <w:pStyle w:val="NormalWeb"/>
        <w:rPr>
          <w:sz w:val="22"/>
          <w:szCs w:val="22"/>
        </w:rPr>
      </w:pPr>
      <w:r w:rsidRPr="00EB486E">
        <w:rPr>
          <w:sz w:val="22"/>
          <w:szCs w:val="22"/>
        </w:rPr>
        <w:t xml:space="preserve">(B) The date that the malfunction occurred; </w:t>
      </w:r>
    </w:p>
    <w:p w:rsidR="00EB486E" w:rsidRPr="00EB486E" w:rsidRDefault="00EB486E" w:rsidP="00EB486E">
      <w:pPr>
        <w:pStyle w:val="NormalWeb"/>
        <w:rPr>
          <w:sz w:val="22"/>
          <w:szCs w:val="22"/>
        </w:rPr>
      </w:pPr>
      <w:r w:rsidRPr="00EB486E">
        <w:rPr>
          <w:sz w:val="22"/>
          <w:szCs w:val="22"/>
        </w:rPr>
        <w:t xml:space="preserve">(C) A description of the malfunction; </w:t>
      </w:r>
    </w:p>
    <w:p w:rsidR="00EB486E" w:rsidRPr="00EB486E" w:rsidRDefault="00EB486E" w:rsidP="00EB486E">
      <w:pPr>
        <w:pStyle w:val="NormalWeb"/>
        <w:rPr>
          <w:sz w:val="22"/>
          <w:szCs w:val="22"/>
        </w:rPr>
      </w:pPr>
      <w:r w:rsidRPr="00EB486E">
        <w:rPr>
          <w:sz w:val="22"/>
          <w:szCs w:val="22"/>
        </w:rPr>
        <w:t xml:space="preserve">(D) The methods used to depaint aerospace vehicles during the malfunction period; </w:t>
      </w:r>
    </w:p>
    <w:p w:rsidR="00EB486E" w:rsidRPr="00EB486E" w:rsidRDefault="00EB486E" w:rsidP="00EB486E">
      <w:pPr>
        <w:pStyle w:val="NormalWeb"/>
        <w:rPr>
          <w:sz w:val="22"/>
          <w:szCs w:val="22"/>
        </w:rPr>
      </w:pPr>
      <w:r w:rsidRPr="00EB486E">
        <w:rPr>
          <w:sz w:val="22"/>
          <w:szCs w:val="22"/>
        </w:rPr>
        <w:t xml:space="preserve">(E) The dates that these methods were begun and discontinued; and </w:t>
      </w:r>
    </w:p>
    <w:p w:rsidR="00EB486E" w:rsidRPr="00EB486E" w:rsidRDefault="00EB486E" w:rsidP="00EB486E">
      <w:pPr>
        <w:pStyle w:val="NormalWeb"/>
        <w:rPr>
          <w:sz w:val="22"/>
          <w:szCs w:val="22"/>
        </w:rPr>
      </w:pPr>
      <w:r w:rsidRPr="00EB486E">
        <w:rPr>
          <w:sz w:val="22"/>
          <w:szCs w:val="22"/>
        </w:rPr>
        <w:t xml:space="preserve">(F) The date that the malfunction was corrected; </w:t>
      </w:r>
    </w:p>
    <w:p w:rsidR="00EB486E" w:rsidRPr="00EB486E" w:rsidRDefault="00EB486E" w:rsidP="00EB486E">
      <w:pPr>
        <w:pStyle w:val="NormalWeb"/>
        <w:rPr>
          <w:sz w:val="22"/>
          <w:szCs w:val="22"/>
        </w:rPr>
      </w:pPr>
      <w:r w:rsidRPr="00EB486E">
        <w:rPr>
          <w:sz w:val="22"/>
          <w:szCs w:val="22"/>
        </w:rPr>
        <w:t>(vii) All periods where a nonchemical depainting operation subject to §63.746(b)(2) and (b)(4) for the control of inorganic HAP emissions was not immediately shut down when the pressure drop, water flow rate, or recommended booth parameter(s) was outside the limit(s) specified by the filter or booth manufacturer or in locally prepared operational procedures;</w:t>
      </w:r>
    </w:p>
    <w:p w:rsidR="00EB486E" w:rsidRPr="00EB486E" w:rsidRDefault="00EB486E" w:rsidP="00EB486E">
      <w:pPr>
        <w:pStyle w:val="NormalWeb"/>
        <w:rPr>
          <w:sz w:val="22"/>
          <w:szCs w:val="22"/>
        </w:rPr>
      </w:pPr>
      <w:r w:rsidRPr="00EB486E">
        <w:rPr>
          <w:sz w:val="22"/>
          <w:szCs w:val="22"/>
        </w:rPr>
        <w:t xml:space="preserve">(viii) A list of new and discontinued aircraft models depainted at the facility over the last 6 months and a list of the parts normally removed for depainting for each new aircraft model being depainted; and </w:t>
      </w:r>
    </w:p>
    <w:p w:rsidR="00EB486E" w:rsidRPr="00EB486E" w:rsidRDefault="00EB486E" w:rsidP="00EB486E">
      <w:pPr>
        <w:pStyle w:val="NormalWeb"/>
        <w:rPr>
          <w:sz w:val="22"/>
          <w:szCs w:val="22"/>
        </w:rPr>
      </w:pPr>
      <w:r w:rsidRPr="00EB486E">
        <w:rPr>
          <w:sz w:val="22"/>
          <w:szCs w:val="22"/>
        </w:rPr>
        <w:t xml:space="preserve">(ix) If the depainting operation has </w:t>
      </w:r>
      <w:proofErr w:type="gramStart"/>
      <w:r w:rsidRPr="00EB486E">
        <w:rPr>
          <w:sz w:val="22"/>
          <w:szCs w:val="22"/>
        </w:rPr>
        <w:t>been in compliance</w:t>
      </w:r>
      <w:proofErr w:type="gramEnd"/>
      <w:r w:rsidRPr="00EB486E">
        <w:rPr>
          <w:sz w:val="22"/>
          <w:szCs w:val="22"/>
        </w:rPr>
        <w:t xml:space="preserve"> for the semiannual period, a statement signed by a responsible company official that the operation was in compliance with the applicable standards. </w:t>
      </w:r>
    </w:p>
    <w:p w:rsidR="00EB486E" w:rsidRPr="00EB486E" w:rsidRDefault="00EB486E" w:rsidP="00EB486E">
      <w:pPr>
        <w:pStyle w:val="NormalWeb"/>
        <w:rPr>
          <w:sz w:val="22"/>
          <w:szCs w:val="22"/>
        </w:rPr>
      </w:pPr>
      <w:r w:rsidRPr="00EB486E">
        <w:rPr>
          <w:sz w:val="22"/>
          <w:szCs w:val="22"/>
        </w:rPr>
        <w:t xml:space="preserve">(2) Annual reports occurring every 12 months from the date of the notification of compliance status that identify: </w:t>
      </w:r>
    </w:p>
    <w:p w:rsidR="00EB486E" w:rsidRPr="00EB486E" w:rsidRDefault="00EB486E" w:rsidP="00EB486E">
      <w:pPr>
        <w:pStyle w:val="NormalWeb"/>
        <w:rPr>
          <w:sz w:val="22"/>
          <w:szCs w:val="22"/>
        </w:rPr>
      </w:pPr>
      <w:r w:rsidRPr="00EB486E">
        <w:rPr>
          <w:sz w:val="22"/>
          <w:szCs w:val="22"/>
        </w:rPr>
        <w:t>(i) The average volume per aircraft of organic HAP-containing chemical strippers or weight of organic HAP used for spot stripping and decal removal operations if it exceeds the limits specified in §63.746(b)(3); and</w:t>
      </w:r>
    </w:p>
    <w:p w:rsidR="00EB486E" w:rsidRPr="00EB486E" w:rsidRDefault="00EB486E" w:rsidP="00EB486E">
      <w:pPr>
        <w:pStyle w:val="NormalWeb"/>
        <w:rPr>
          <w:sz w:val="22"/>
          <w:szCs w:val="22"/>
        </w:rPr>
      </w:pPr>
      <w:r w:rsidRPr="00EB486E">
        <w:rPr>
          <w:sz w:val="22"/>
          <w:szCs w:val="22"/>
        </w:rPr>
        <w:t xml:space="preserve">(ii) The number of times the pressure drop limit(s) for each filter system or the number of times the water flow rate limit(s) for each waterwash system were outside the limit(s) specified by the filter or booth manufacturer or in locally prepared operating procedures. </w:t>
      </w:r>
    </w:p>
    <w:p w:rsidR="00EB486E" w:rsidRPr="00EB486E" w:rsidRDefault="00EB486E" w:rsidP="00EB486E">
      <w:pPr>
        <w:pStyle w:val="NormalWeb"/>
        <w:rPr>
          <w:sz w:val="22"/>
          <w:szCs w:val="22"/>
        </w:rPr>
      </w:pPr>
      <w:r w:rsidRPr="00EB486E">
        <w:rPr>
          <w:sz w:val="22"/>
          <w:szCs w:val="22"/>
        </w:rPr>
        <w:lastRenderedPageBreak/>
        <w:t xml:space="preserve">(3) Where a control device is used to control organic HAP emissions, semiannual reports that identify: </w:t>
      </w:r>
    </w:p>
    <w:p w:rsidR="00EB486E" w:rsidRPr="00EB486E" w:rsidRDefault="00EB486E" w:rsidP="00EB486E">
      <w:pPr>
        <w:pStyle w:val="NormalWeb"/>
        <w:rPr>
          <w:sz w:val="22"/>
          <w:szCs w:val="22"/>
        </w:rPr>
      </w:pPr>
      <w:r w:rsidRPr="00EB486E">
        <w:rPr>
          <w:sz w:val="22"/>
          <w:szCs w:val="22"/>
        </w:rPr>
        <w:t xml:space="preserve">(i) If a carbon adsorber is used, </w:t>
      </w:r>
    </w:p>
    <w:p w:rsidR="00EB486E" w:rsidRPr="00EB486E" w:rsidRDefault="00EB486E" w:rsidP="00EB486E">
      <w:pPr>
        <w:pStyle w:val="NormalWeb"/>
        <w:rPr>
          <w:sz w:val="22"/>
          <w:szCs w:val="22"/>
        </w:rPr>
      </w:pPr>
      <w:r w:rsidRPr="00EB486E">
        <w:rPr>
          <w:sz w:val="22"/>
          <w:szCs w:val="22"/>
        </w:rPr>
        <w:t xml:space="preserve">(A) each rolling period when the overall control efficiency of the control system is calculated to be less than 81% for existing systems or less than 95% for new systems, the initial material balance calculation, and any exceedances as demonstrated through the calculation; or, </w:t>
      </w:r>
    </w:p>
    <w:p w:rsidR="00EB486E" w:rsidRPr="00EB486E" w:rsidRDefault="00EB486E" w:rsidP="00EB486E">
      <w:pPr>
        <w:pStyle w:val="NormalWeb"/>
        <w:rPr>
          <w:sz w:val="22"/>
          <w:szCs w:val="22"/>
        </w:rPr>
      </w:pPr>
      <w:r w:rsidRPr="00EB486E">
        <w:rPr>
          <w:sz w:val="22"/>
          <w:szCs w:val="22"/>
        </w:rPr>
        <w:t xml:space="preserve">(B) for nonregenerative carbon adsorbers, submit the design evaluation, the continuous monitoring system performance report, and any excess emissions as demonstrated through deviations of monitored values. </w:t>
      </w:r>
    </w:p>
    <w:p w:rsidR="00EB486E" w:rsidRPr="00EB486E" w:rsidRDefault="00EB486E" w:rsidP="00EB486E">
      <w:pPr>
        <w:pStyle w:val="NormalWeb"/>
        <w:rPr>
          <w:sz w:val="22"/>
          <w:szCs w:val="22"/>
        </w:rPr>
      </w:pPr>
      <w:r w:rsidRPr="00EB486E">
        <w:rPr>
          <w:sz w:val="22"/>
          <w:szCs w:val="22"/>
        </w:rPr>
        <w:t xml:space="preserve">(ii) For control </w:t>
      </w:r>
      <w:proofErr w:type="gramStart"/>
      <w:r w:rsidRPr="00EB486E">
        <w:rPr>
          <w:sz w:val="22"/>
          <w:szCs w:val="22"/>
        </w:rPr>
        <w:t>devices</w:t>
      </w:r>
      <w:proofErr w:type="gramEnd"/>
      <w:r w:rsidRPr="00EB486E">
        <w:rPr>
          <w:sz w:val="22"/>
          <w:szCs w:val="22"/>
        </w:rPr>
        <w:t xml:space="preserve"> other than a carbon adsorber, each exceedance of the operating parameter(s) established for the control device under the initial performance test during which compliance was demonstrated; </w:t>
      </w:r>
    </w:p>
    <w:p w:rsidR="00EB486E" w:rsidRPr="00EB486E" w:rsidRDefault="00EB486E" w:rsidP="00EB486E">
      <w:pPr>
        <w:pStyle w:val="NormalWeb"/>
        <w:rPr>
          <w:sz w:val="22"/>
          <w:szCs w:val="22"/>
        </w:rPr>
      </w:pPr>
      <w:r w:rsidRPr="00EB486E">
        <w:rPr>
          <w:sz w:val="22"/>
          <w:szCs w:val="22"/>
        </w:rPr>
        <w:t xml:space="preserve">(iii) Descriptions of any control devices currently in use that were not listed in the notification of compliance status or any subsequent report. </w:t>
      </w:r>
    </w:p>
    <w:p w:rsidR="00EB486E" w:rsidRPr="00EB486E" w:rsidRDefault="00EB486E" w:rsidP="00EB486E">
      <w:pPr>
        <w:pStyle w:val="NormalWeb"/>
        <w:rPr>
          <w:sz w:val="22"/>
          <w:szCs w:val="22"/>
        </w:rPr>
      </w:pPr>
      <w:r w:rsidRPr="00EB486E">
        <w:rPr>
          <w:sz w:val="22"/>
          <w:szCs w:val="22"/>
        </w:rPr>
        <w:t xml:space="preserve">(e) </w:t>
      </w:r>
      <w:r w:rsidRPr="00EB486E">
        <w:rPr>
          <w:i/>
          <w:iCs/>
          <w:sz w:val="22"/>
          <w:szCs w:val="22"/>
        </w:rPr>
        <w:t>Chemical milling maskant application operation.</w:t>
      </w:r>
      <w:r w:rsidRPr="00EB486E">
        <w:rPr>
          <w:sz w:val="22"/>
          <w:szCs w:val="22"/>
        </w:rPr>
        <w:t xml:space="preserve"> Each owner or operator of a chemical milling maskant application operation subject to this subpart shall submit semiannual reports occurring every 6 months from the date of the notification of compliance status that identify: </w:t>
      </w:r>
    </w:p>
    <w:p w:rsidR="00EB486E" w:rsidRPr="00EB486E" w:rsidRDefault="00EB486E" w:rsidP="00EB486E">
      <w:pPr>
        <w:pStyle w:val="NormalWeb"/>
        <w:rPr>
          <w:sz w:val="22"/>
          <w:szCs w:val="22"/>
        </w:rPr>
      </w:pPr>
      <w:r w:rsidRPr="00EB486E">
        <w:rPr>
          <w:sz w:val="22"/>
          <w:szCs w:val="22"/>
        </w:rPr>
        <w:t xml:space="preserve">(1) For chemical milling maskants where compliance is not being achieved </w:t>
      </w:r>
      <w:proofErr w:type="gramStart"/>
      <w:r w:rsidRPr="00EB486E">
        <w:rPr>
          <w:sz w:val="22"/>
          <w:szCs w:val="22"/>
        </w:rPr>
        <w:t>through the use of</w:t>
      </w:r>
      <w:proofErr w:type="gramEnd"/>
      <w:r w:rsidRPr="00EB486E">
        <w:rPr>
          <w:sz w:val="22"/>
          <w:szCs w:val="22"/>
        </w:rPr>
        <w:t xml:space="preserve"> averaging or a control device, the HAP or VOC content in manufacturer's supplied data as recorded under §63.752(f), or each value of H</w:t>
      </w:r>
      <w:r w:rsidRPr="00EB486E">
        <w:rPr>
          <w:sz w:val="22"/>
          <w:szCs w:val="22"/>
          <w:vertAlign w:val="subscript"/>
        </w:rPr>
        <w:t>i</w:t>
      </w:r>
      <w:r w:rsidRPr="00EB486E">
        <w:rPr>
          <w:sz w:val="22"/>
          <w:szCs w:val="22"/>
        </w:rPr>
        <w:t xml:space="preserve"> and G</w:t>
      </w:r>
      <w:r w:rsidRPr="00EB486E">
        <w:rPr>
          <w:sz w:val="22"/>
          <w:szCs w:val="22"/>
          <w:vertAlign w:val="subscript"/>
        </w:rPr>
        <w:t>i</w:t>
      </w:r>
      <w:r w:rsidRPr="00EB486E">
        <w:rPr>
          <w:sz w:val="22"/>
          <w:szCs w:val="22"/>
        </w:rPr>
        <w:t>, as recorded under §63.752(f)(1)(i), that exceeds the applicable organic HAP or VOC content limit specified in §63.747(c);</w:t>
      </w:r>
    </w:p>
    <w:p w:rsidR="00EB486E" w:rsidRPr="00EB486E" w:rsidRDefault="00EB486E" w:rsidP="00EB486E">
      <w:pPr>
        <w:pStyle w:val="NormalWeb"/>
        <w:rPr>
          <w:sz w:val="22"/>
          <w:szCs w:val="22"/>
        </w:rPr>
      </w:pPr>
      <w:r w:rsidRPr="00EB486E">
        <w:rPr>
          <w:sz w:val="22"/>
          <w:szCs w:val="22"/>
        </w:rPr>
        <w:t xml:space="preserve">(2) For chemical milling maskants where compliance is being achieved </w:t>
      </w:r>
      <w:proofErr w:type="gramStart"/>
      <w:r w:rsidRPr="00EB486E">
        <w:rPr>
          <w:sz w:val="22"/>
          <w:szCs w:val="22"/>
        </w:rPr>
        <w:t>through the use of</w:t>
      </w:r>
      <w:proofErr w:type="gramEnd"/>
      <w:r w:rsidRPr="00EB486E">
        <w:rPr>
          <w:sz w:val="22"/>
          <w:szCs w:val="22"/>
        </w:rPr>
        <w:t xml:space="preserve"> averaging, each value of H</w:t>
      </w:r>
      <w:r w:rsidRPr="00EB486E">
        <w:rPr>
          <w:sz w:val="22"/>
          <w:szCs w:val="22"/>
          <w:vertAlign w:val="subscript"/>
        </w:rPr>
        <w:t>a</w:t>
      </w:r>
      <w:r w:rsidRPr="00EB486E">
        <w:rPr>
          <w:sz w:val="22"/>
          <w:szCs w:val="22"/>
        </w:rPr>
        <w:t xml:space="preserve"> and G</w:t>
      </w:r>
      <w:r w:rsidRPr="00EB486E">
        <w:rPr>
          <w:sz w:val="22"/>
          <w:szCs w:val="22"/>
          <w:vertAlign w:val="subscript"/>
        </w:rPr>
        <w:t>a</w:t>
      </w:r>
      <w:r w:rsidRPr="00EB486E">
        <w:rPr>
          <w:sz w:val="22"/>
          <w:szCs w:val="22"/>
        </w:rPr>
        <w:t xml:space="preserve">, as recorded under §63.752(f)(2)(i), that exceeds the applicable organic HAP or VOC content limit specified in §63.747(c); </w:t>
      </w:r>
    </w:p>
    <w:p w:rsidR="00EB486E" w:rsidRPr="00EB486E" w:rsidRDefault="00EB486E" w:rsidP="00EB486E">
      <w:pPr>
        <w:pStyle w:val="NormalWeb"/>
        <w:rPr>
          <w:sz w:val="22"/>
          <w:szCs w:val="22"/>
        </w:rPr>
      </w:pPr>
      <w:r w:rsidRPr="00EB486E">
        <w:rPr>
          <w:sz w:val="22"/>
          <w:szCs w:val="22"/>
        </w:rPr>
        <w:t xml:space="preserve">(3) Where a control device is used, </w:t>
      </w:r>
    </w:p>
    <w:p w:rsidR="00EB486E" w:rsidRPr="00EB486E" w:rsidRDefault="00EB486E" w:rsidP="00EB486E">
      <w:pPr>
        <w:pStyle w:val="NormalWeb"/>
        <w:rPr>
          <w:sz w:val="22"/>
          <w:szCs w:val="22"/>
        </w:rPr>
      </w:pPr>
      <w:r w:rsidRPr="00EB486E">
        <w:rPr>
          <w:sz w:val="22"/>
          <w:szCs w:val="22"/>
        </w:rPr>
        <w:t xml:space="preserve">(i) If incinerators are used to comply with the standards, all periods when the 3-hour average combustion temperature(s) is (are) less than the average combustion temperature(s) established under §63.751(b) (11) or (12) during the most recent performance test during which compliance was demonstrated; </w:t>
      </w:r>
    </w:p>
    <w:p w:rsidR="00EB486E" w:rsidRPr="00EB486E" w:rsidRDefault="00EB486E" w:rsidP="00EB486E">
      <w:pPr>
        <w:pStyle w:val="NormalWeb"/>
        <w:rPr>
          <w:sz w:val="22"/>
          <w:szCs w:val="22"/>
        </w:rPr>
      </w:pPr>
      <w:r w:rsidRPr="00EB486E">
        <w:rPr>
          <w:sz w:val="22"/>
          <w:szCs w:val="22"/>
        </w:rPr>
        <w:t xml:space="preserve">(ii) If a carbon adsorber is used, </w:t>
      </w:r>
    </w:p>
    <w:p w:rsidR="00EB486E" w:rsidRPr="00EB486E" w:rsidRDefault="00EB486E" w:rsidP="00EB486E">
      <w:pPr>
        <w:pStyle w:val="NormalWeb"/>
        <w:rPr>
          <w:sz w:val="22"/>
          <w:szCs w:val="22"/>
        </w:rPr>
      </w:pPr>
      <w:r w:rsidRPr="00EB486E">
        <w:rPr>
          <w:sz w:val="22"/>
          <w:szCs w:val="22"/>
        </w:rPr>
        <w:t xml:space="preserve">(A) Each rolling period when the overall control efficiency of the control system is calculated to be less than 81%, the initial material balance calculation, and any exceedances as demonstrated through the calculation; or, </w:t>
      </w:r>
    </w:p>
    <w:p w:rsidR="00EB486E" w:rsidRPr="00EB486E" w:rsidRDefault="00EB486E" w:rsidP="00EB486E">
      <w:pPr>
        <w:pStyle w:val="NormalWeb"/>
        <w:rPr>
          <w:sz w:val="22"/>
          <w:szCs w:val="22"/>
        </w:rPr>
      </w:pPr>
      <w:r w:rsidRPr="00EB486E">
        <w:rPr>
          <w:sz w:val="22"/>
          <w:szCs w:val="22"/>
        </w:rPr>
        <w:t xml:space="preserve">(B) For nonregenerative carbon adsorbers, submit the design evaluation, the continuous monitoring system performance report, and any excess emissions as demonstrated through deviations of monitored values. </w:t>
      </w:r>
    </w:p>
    <w:p w:rsidR="00EB486E" w:rsidRPr="00EB486E" w:rsidRDefault="00EB486E" w:rsidP="00EB486E">
      <w:pPr>
        <w:pStyle w:val="NormalWeb"/>
        <w:rPr>
          <w:sz w:val="22"/>
          <w:szCs w:val="22"/>
        </w:rPr>
      </w:pPr>
      <w:r w:rsidRPr="00EB486E">
        <w:rPr>
          <w:sz w:val="22"/>
          <w:szCs w:val="22"/>
        </w:rPr>
        <w:t xml:space="preserve">(iii) For control </w:t>
      </w:r>
      <w:proofErr w:type="gramStart"/>
      <w:r w:rsidRPr="00EB486E">
        <w:rPr>
          <w:sz w:val="22"/>
          <w:szCs w:val="22"/>
        </w:rPr>
        <w:t>devices</w:t>
      </w:r>
      <w:proofErr w:type="gramEnd"/>
      <w:r w:rsidRPr="00EB486E">
        <w:rPr>
          <w:sz w:val="22"/>
          <w:szCs w:val="22"/>
        </w:rPr>
        <w:t xml:space="preserve"> other than an incinerator or carbon adsorber, each exceedance of the operating parameter(s) established for the control device under the initial performance test during which compliance was demonstrated;</w:t>
      </w:r>
    </w:p>
    <w:p w:rsidR="00EB486E" w:rsidRPr="00EB486E" w:rsidRDefault="00EB486E" w:rsidP="00EB486E">
      <w:pPr>
        <w:pStyle w:val="NormalWeb"/>
        <w:rPr>
          <w:sz w:val="22"/>
          <w:szCs w:val="22"/>
        </w:rPr>
      </w:pPr>
      <w:r w:rsidRPr="00EB486E">
        <w:rPr>
          <w:sz w:val="22"/>
          <w:szCs w:val="22"/>
        </w:rPr>
        <w:lastRenderedPageBreak/>
        <w:t xml:space="preserve">(4) All chemical milling maskants currently in use that were not listed in the notification of compliance status or any other subsequent semiannual report; </w:t>
      </w:r>
    </w:p>
    <w:p w:rsidR="00EB486E" w:rsidRPr="00EB486E" w:rsidRDefault="00EB486E" w:rsidP="00EB486E">
      <w:pPr>
        <w:pStyle w:val="NormalWeb"/>
        <w:rPr>
          <w:sz w:val="22"/>
          <w:szCs w:val="22"/>
        </w:rPr>
      </w:pPr>
      <w:r w:rsidRPr="00EB486E">
        <w:rPr>
          <w:sz w:val="22"/>
          <w:szCs w:val="22"/>
        </w:rPr>
        <w:t xml:space="preserve">(5) Descriptions of any control devices currently in use that were not listed in the notification of compliance status or any subsequent report; and </w:t>
      </w:r>
    </w:p>
    <w:p w:rsidR="00EB486E" w:rsidRPr="00EB486E" w:rsidRDefault="00EB486E" w:rsidP="00EB486E">
      <w:pPr>
        <w:pStyle w:val="NormalWeb"/>
        <w:rPr>
          <w:sz w:val="22"/>
          <w:szCs w:val="22"/>
        </w:rPr>
      </w:pPr>
      <w:r w:rsidRPr="00EB486E">
        <w:rPr>
          <w:sz w:val="22"/>
          <w:szCs w:val="22"/>
        </w:rPr>
        <w:t xml:space="preserve">(6) If the operations have </w:t>
      </w:r>
      <w:proofErr w:type="gramStart"/>
      <w:r w:rsidRPr="00EB486E">
        <w:rPr>
          <w:sz w:val="22"/>
          <w:szCs w:val="22"/>
        </w:rPr>
        <w:t>been in compliance</w:t>
      </w:r>
      <w:proofErr w:type="gramEnd"/>
      <w:r w:rsidRPr="00EB486E">
        <w:rPr>
          <w:sz w:val="22"/>
          <w:szCs w:val="22"/>
        </w:rPr>
        <w:t xml:space="preserve"> for the semiannual period, a statement that the chemical milling maskant application operation has been in compliance with the applicable standards. </w:t>
      </w:r>
    </w:p>
    <w:p w:rsidR="00EB486E" w:rsidRPr="00EB486E" w:rsidRDefault="00EB486E" w:rsidP="00EB486E">
      <w:pPr>
        <w:pStyle w:val="NormalWeb"/>
        <w:rPr>
          <w:sz w:val="22"/>
          <w:szCs w:val="22"/>
        </w:rPr>
      </w:pPr>
      <w:r w:rsidRPr="00EB486E">
        <w:rPr>
          <w:sz w:val="22"/>
          <w:szCs w:val="22"/>
        </w:rPr>
        <w:t>(f) Within 60 days after the date of completing each performance test (as defined in §63.2) required by this subpart, you must submit the results of the performance tests following the procedure specified in either paragraph (f)(1) or (2) of this section.</w:t>
      </w:r>
    </w:p>
    <w:p w:rsidR="00EB486E" w:rsidRPr="00EB486E" w:rsidRDefault="00EB486E" w:rsidP="00EB486E">
      <w:pPr>
        <w:pStyle w:val="NormalWeb"/>
        <w:rPr>
          <w:sz w:val="22"/>
          <w:szCs w:val="22"/>
        </w:rPr>
      </w:pPr>
      <w:r w:rsidRPr="00EB486E">
        <w:rPr>
          <w:sz w:val="22"/>
          <w:szCs w:val="22"/>
        </w:rPr>
        <w:t>(1) For data collected using test methods supported by the EPA's Electronic Reporting Tool (ERT) as listed on the EPA's ERT Web site (</w:t>
      </w:r>
      <w:r w:rsidRPr="00EB486E">
        <w:rPr>
          <w:i/>
          <w:iCs/>
          <w:sz w:val="22"/>
          <w:szCs w:val="22"/>
        </w:rPr>
        <w:t>http://www.epa.gov/ttn/chief/ert/index.html</w:t>
      </w:r>
      <w:r w:rsidRPr="00EB486E">
        <w:rPr>
          <w:sz w:val="22"/>
          <w:szCs w:val="22"/>
        </w:rPr>
        <w:t>) at the time of the test, you must submit the results of the performance test to the EPA via the Compliance and Emissions Data Reporting Interface (CEDRI). (CEDRI can be accessed through the EPA's Central Data Exchange (CDX) (</w:t>
      </w:r>
      <w:r w:rsidRPr="00EB486E">
        <w:rPr>
          <w:i/>
          <w:iCs/>
          <w:sz w:val="22"/>
          <w:szCs w:val="22"/>
        </w:rPr>
        <w:t>http://cdx.epa.gov/</w:t>
      </w:r>
      <w:r w:rsidRPr="00EB486E">
        <w:rPr>
          <w:sz w:val="22"/>
          <w:szCs w:val="22"/>
        </w:rPr>
        <w:t xml:space="preserve">)). Performance test data must be submitted in a file format generated </w:t>
      </w:r>
      <w:proofErr w:type="gramStart"/>
      <w:r w:rsidRPr="00EB486E">
        <w:rPr>
          <w:sz w:val="22"/>
          <w:szCs w:val="22"/>
        </w:rPr>
        <w:t>through the use of</w:t>
      </w:r>
      <w:proofErr w:type="gramEnd"/>
      <w:r w:rsidRPr="00EB486E">
        <w:rPr>
          <w:sz w:val="22"/>
          <w:szCs w:val="22"/>
        </w:rPr>
        <w:t xml:space="preserve"> the EPA's ERT or an alternate electronic file format consistent with the extensible markup language (XML) schema listed on the EPA's ERT Web site. If you claim that some of the performance test information being submitted is confidential business information (CBI), you must submit a complete file generated </w:t>
      </w:r>
      <w:proofErr w:type="gramStart"/>
      <w:r w:rsidRPr="00EB486E">
        <w:rPr>
          <w:sz w:val="22"/>
          <w:szCs w:val="22"/>
        </w:rPr>
        <w:t>through the use of</w:t>
      </w:r>
      <w:proofErr w:type="gramEnd"/>
      <w:r w:rsidRPr="00EB486E">
        <w:rPr>
          <w:sz w:val="22"/>
          <w:szCs w:val="22"/>
        </w:rPr>
        <w:t xml:space="preserve"> the EPA's ERT or an alternate electronic file consistent with the XML schema listed on the EPA's ERT Web site, including information claimed to be CBI, on a compact disc, flash drive, or other commonly used electronic storage media to the EPA. The electronic media must be clearly marked as CBI and mailed to U.S. EPA/OAPQS/CORE CBI Office, Attention: Group Leader, Measurement Policy Group, MD C404-02, 4930 Old Page Rd., Durham, NC 27703. The same ERT or alternate file with the CBI omitted must be submitted to the EPA via the EPA's CDX as described earlier in this paragraph (f).</w:t>
      </w:r>
    </w:p>
    <w:p w:rsidR="00EB486E" w:rsidRPr="00EB486E" w:rsidRDefault="00EB486E" w:rsidP="00EB486E">
      <w:pPr>
        <w:pStyle w:val="NormalWeb"/>
        <w:rPr>
          <w:sz w:val="22"/>
          <w:szCs w:val="22"/>
        </w:rPr>
      </w:pPr>
      <w:r w:rsidRPr="00EB486E">
        <w:rPr>
          <w:sz w:val="22"/>
          <w:szCs w:val="22"/>
        </w:rPr>
        <w:t>(2) For data collected using test methods that are not supported by the EPA's ERT as listed on the EPA's ERT Web site at the time of the test, you must submit the results of the performance test to the Administrator at the appropriate address listed in §63.13.</w:t>
      </w:r>
    </w:p>
    <w:p w:rsidR="00EB486E" w:rsidRPr="00EB486E" w:rsidRDefault="00EB486E" w:rsidP="00EB486E">
      <w:pPr>
        <w:pStyle w:val="cita"/>
        <w:rPr>
          <w:sz w:val="22"/>
          <w:szCs w:val="22"/>
        </w:rPr>
      </w:pPr>
      <w:r w:rsidRPr="00EB486E">
        <w:rPr>
          <w:sz w:val="22"/>
          <w:szCs w:val="22"/>
        </w:rPr>
        <w:t>[60 FR 45956, Sept. 1, 1996; 61 FR 4903, Feb. 9, 1996, as amended at 61 FR 66227, Dec. 17, 1996; 63 FR 15023, Mar. 27, 1998; 63 FR 46535, Sept. 1, 1998; 80 FR 76187, Dec. 7, 2015]</w:t>
      </w:r>
    </w:p>
    <w:p w:rsidR="00EB486E" w:rsidRPr="00EB486E" w:rsidRDefault="00EB486E" w:rsidP="00EB486E">
      <w:pPr>
        <w:pStyle w:val="Heading2"/>
        <w:rPr>
          <w:rFonts w:ascii="Times New Roman" w:hAnsi="Times New Roman" w:cs="Times New Roman"/>
          <w:sz w:val="22"/>
          <w:szCs w:val="22"/>
        </w:rPr>
      </w:pPr>
      <w:bookmarkStart w:id="46" w:name="se40.12.63_1754_663_1758"/>
      <w:bookmarkEnd w:id="46"/>
      <w:r w:rsidRPr="00EB486E">
        <w:rPr>
          <w:rFonts w:ascii="Times New Roman" w:hAnsi="Times New Roman" w:cs="Times New Roman"/>
          <w:sz w:val="22"/>
          <w:szCs w:val="22"/>
        </w:rPr>
        <w:t>§§63.754-63.758</w:t>
      </w:r>
      <w:proofErr w:type="gramStart"/>
      <w:r w:rsidRPr="00EB486E">
        <w:rPr>
          <w:rFonts w:ascii="Times New Roman" w:hAnsi="Times New Roman" w:cs="Times New Roman"/>
          <w:sz w:val="22"/>
          <w:szCs w:val="22"/>
        </w:rPr>
        <w:t>   [</w:t>
      </w:r>
      <w:proofErr w:type="gramEnd"/>
      <w:r w:rsidRPr="00EB486E">
        <w:rPr>
          <w:rFonts w:ascii="Times New Roman" w:hAnsi="Times New Roman" w:cs="Times New Roman"/>
          <w:sz w:val="22"/>
          <w:szCs w:val="22"/>
        </w:rPr>
        <w:t>Reserved]</w:t>
      </w:r>
    </w:p>
    <w:p w:rsidR="00EB486E" w:rsidRPr="00EB486E" w:rsidRDefault="00EB486E" w:rsidP="00EB486E">
      <w:pPr>
        <w:pStyle w:val="Heading2"/>
        <w:rPr>
          <w:rFonts w:ascii="Times New Roman" w:hAnsi="Times New Roman" w:cs="Times New Roman"/>
          <w:sz w:val="22"/>
          <w:szCs w:val="22"/>
        </w:rPr>
      </w:pPr>
      <w:bookmarkStart w:id="47" w:name="se40.12.63_1759"/>
      <w:bookmarkEnd w:id="47"/>
      <w:r w:rsidRPr="00EB486E">
        <w:rPr>
          <w:rFonts w:ascii="Times New Roman" w:hAnsi="Times New Roman" w:cs="Times New Roman"/>
          <w:sz w:val="22"/>
          <w:szCs w:val="22"/>
        </w:rPr>
        <w:t>§63.759   Implementation and enforcement.</w:t>
      </w:r>
    </w:p>
    <w:p w:rsidR="00EB486E" w:rsidRPr="00EB486E" w:rsidRDefault="00EB486E" w:rsidP="00EB486E">
      <w:pPr>
        <w:pStyle w:val="NormalWeb"/>
        <w:rPr>
          <w:sz w:val="22"/>
          <w:szCs w:val="22"/>
        </w:rPr>
      </w:pPr>
      <w:r w:rsidRPr="00EB486E">
        <w:rPr>
          <w:sz w:val="22"/>
          <w:szCs w:val="22"/>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EB486E" w:rsidRPr="00EB486E" w:rsidRDefault="00EB486E" w:rsidP="00EB486E">
      <w:pPr>
        <w:pStyle w:val="NormalWeb"/>
        <w:rPr>
          <w:sz w:val="22"/>
          <w:szCs w:val="22"/>
        </w:rPr>
      </w:pPr>
      <w:r w:rsidRPr="00EB486E">
        <w:rPr>
          <w:sz w:val="22"/>
          <w:szCs w:val="22"/>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EB486E" w:rsidRPr="00EB486E" w:rsidRDefault="00EB486E" w:rsidP="00EB486E">
      <w:pPr>
        <w:pStyle w:val="NormalWeb"/>
        <w:rPr>
          <w:sz w:val="22"/>
          <w:szCs w:val="22"/>
        </w:rPr>
      </w:pPr>
      <w:r w:rsidRPr="00EB486E">
        <w:rPr>
          <w:sz w:val="22"/>
          <w:szCs w:val="22"/>
        </w:rPr>
        <w:lastRenderedPageBreak/>
        <w:t>(c) The authorities that cannot be delegated to State, local, or Tribal agencies are as specified in paragraphs (c)(1) through (4) of this section.</w:t>
      </w:r>
    </w:p>
    <w:p w:rsidR="00EB486E" w:rsidRPr="00EB486E" w:rsidRDefault="00EB486E" w:rsidP="00EB486E">
      <w:pPr>
        <w:pStyle w:val="NormalWeb"/>
        <w:rPr>
          <w:sz w:val="22"/>
          <w:szCs w:val="22"/>
        </w:rPr>
      </w:pPr>
      <w:r w:rsidRPr="00EB486E">
        <w:rPr>
          <w:sz w:val="22"/>
          <w:szCs w:val="22"/>
        </w:rPr>
        <w:t>(1) Approval of alternatives to the requirements in §§63.741, 63.743, 63.744(a)(3), (b) through (e), 63.745 through 63.748, and 63.649(a).</w:t>
      </w:r>
    </w:p>
    <w:p w:rsidR="00EB486E" w:rsidRPr="00EB486E" w:rsidRDefault="00EB486E" w:rsidP="00EB486E">
      <w:pPr>
        <w:pStyle w:val="NormalWeb"/>
        <w:rPr>
          <w:sz w:val="22"/>
          <w:szCs w:val="22"/>
        </w:rPr>
      </w:pPr>
      <w:r w:rsidRPr="00EB486E">
        <w:rPr>
          <w:sz w:val="22"/>
          <w:szCs w:val="22"/>
        </w:rPr>
        <w:t>(2) Approval of major alternatives to test methods under §63.7(e)(2)(ii) and (f), as defined in §63.90, and as required in this subpart.</w:t>
      </w:r>
    </w:p>
    <w:p w:rsidR="00EB486E" w:rsidRPr="00EB486E" w:rsidRDefault="00EB486E" w:rsidP="00EB486E">
      <w:pPr>
        <w:pStyle w:val="NormalWeb"/>
        <w:rPr>
          <w:sz w:val="22"/>
          <w:szCs w:val="22"/>
        </w:rPr>
      </w:pPr>
      <w:r w:rsidRPr="00EB486E">
        <w:rPr>
          <w:sz w:val="22"/>
          <w:szCs w:val="22"/>
        </w:rPr>
        <w:t>(3) Approval of major alternatives to monitoring under §63.8(f), as defined in §63.90, and as required in this subpart.</w:t>
      </w:r>
    </w:p>
    <w:p w:rsidR="00EB486E" w:rsidRPr="00EB486E" w:rsidRDefault="00EB486E" w:rsidP="00EB486E">
      <w:pPr>
        <w:pStyle w:val="NormalWeb"/>
        <w:rPr>
          <w:sz w:val="22"/>
          <w:szCs w:val="22"/>
        </w:rPr>
      </w:pPr>
      <w:r w:rsidRPr="00EB486E">
        <w:rPr>
          <w:sz w:val="22"/>
          <w:szCs w:val="22"/>
        </w:rPr>
        <w:t>(4) Approval of major alternatives to recordkeeping and reporting under §63.10(f), as defined in §63.90, and as required in this subpart.</w:t>
      </w:r>
    </w:p>
    <w:p w:rsidR="00EB486E" w:rsidRPr="00EB486E" w:rsidRDefault="00EB486E" w:rsidP="00EB486E">
      <w:pPr>
        <w:pStyle w:val="cita"/>
        <w:rPr>
          <w:sz w:val="22"/>
          <w:szCs w:val="22"/>
        </w:rPr>
      </w:pPr>
      <w:r w:rsidRPr="00EB486E">
        <w:rPr>
          <w:sz w:val="22"/>
          <w:szCs w:val="22"/>
        </w:rPr>
        <w:t>[68 FR 37352, June 23, 2003]</w:t>
      </w:r>
    </w:p>
    <w:p w:rsidR="00EB486E" w:rsidRPr="00EB486E" w:rsidRDefault="00EB486E" w:rsidP="00EB486E">
      <w:pPr>
        <w:pStyle w:val="Heading2"/>
        <w:rPr>
          <w:rFonts w:ascii="Times New Roman" w:hAnsi="Times New Roman" w:cs="Times New Roman"/>
          <w:sz w:val="22"/>
          <w:szCs w:val="22"/>
        </w:rPr>
      </w:pPr>
      <w:bookmarkStart w:id="48" w:name="ap40.12.63_1759.1"/>
      <w:bookmarkEnd w:id="48"/>
      <w:r w:rsidRPr="00EB486E">
        <w:rPr>
          <w:rFonts w:ascii="Times New Roman" w:hAnsi="Times New Roman" w:cs="Times New Roman"/>
          <w:sz w:val="22"/>
          <w:szCs w:val="22"/>
        </w:rPr>
        <w:t>Table 1 to Subpart GG of Part 63—General Provisions Applicability to Subpart GG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07"/>
        <w:gridCol w:w="1555"/>
        <w:gridCol w:w="6748"/>
      </w:tblGrid>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Applies to affected sources in subpart GG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86E" w:rsidRPr="00EB486E" w:rsidRDefault="00EB486E" w:rsidP="00EB486E">
            <w:pPr>
              <w:rPr>
                <w:b/>
                <w:bCs/>
                <w:szCs w:val="22"/>
              </w:rPr>
            </w:pPr>
            <w:r w:rsidRPr="00EB486E">
              <w:rPr>
                <w:b/>
                <w:bCs/>
                <w:szCs w:val="22"/>
              </w:rPr>
              <w:t>Comment</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63.1(a)(7)</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63.1(a)(8)</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63.1(a)(9)</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w:t>
            </w:r>
            <w:proofErr w:type="gramStart"/>
            <w:r w:rsidRPr="00EB486E">
              <w:rPr>
                <w:szCs w:val="22"/>
              </w:rPr>
              <w:t>)(</w:t>
            </w:r>
            <w:proofErr w:type="gramEnd"/>
            <w:r w:rsidRPr="00EB486E">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w:t>
            </w:r>
            <w:proofErr w:type="gramStart"/>
            <w:r w:rsidRPr="00EB486E">
              <w:rPr>
                <w:szCs w:val="22"/>
              </w:rPr>
              <w:t>)(</w:t>
            </w:r>
            <w:proofErr w:type="gramEnd"/>
            <w:r w:rsidRPr="00EB486E">
              <w:rPr>
                <w:szCs w:val="22"/>
              </w:rPr>
              <w:t>11)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w:t>
            </w:r>
            <w:proofErr w:type="gramStart"/>
            <w:r w:rsidRPr="00EB486E">
              <w:rPr>
                <w:szCs w:val="22"/>
              </w:rPr>
              <w:t>)(</w:t>
            </w:r>
            <w:proofErr w:type="gramEnd"/>
            <w:r w:rsidRPr="00EB486E">
              <w:rPr>
                <w:szCs w:val="22"/>
              </w:rPr>
              <w:t>12)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w:t>
            </w:r>
            <w:proofErr w:type="gramStart"/>
            <w:r w:rsidRPr="00EB486E">
              <w:rPr>
                <w:szCs w:val="22"/>
              </w:rPr>
              <w:t>)(</w:t>
            </w:r>
            <w:proofErr w:type="gramEnd"/>
            <w:r w:rsidRPr="00EB486E">
              <w:rPr>
                <w:szCs w:val="22"/>
              </w:rPr>
              <w:t>13)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63.1(a</w:t>
            </w:r>
            <w:proofErr w:type="gramStart"/>
            <w:r w:rsidRPr="00EB486E">
              <w:rPr>
                <w:szCs w:val="22"/>
              </w:rPr>
              <w:t>)(</w:t>
            </w:r>
            <w:proofErr w:type="gramEnd"/>
            <w:r w:rsidRPr="00EB486E">
              <w:rPr>
                <w:szCs w:val="22"/>
              </w:rPr>
              <w:t>14)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63.1(b)(1)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63.1(b)(2)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63.1(b)(3)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lastRenderedPageBreak/>
              <w:t>63.1(c)(1)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63.1(c)(2)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Subpart GG does not apply to area sources.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63.1(c)(3)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63.1(c)(4)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63.1(c)(5)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63.1(d)</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63.4(a)(1)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63.4(a)(2)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63.4(a)(3)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63.4(a)(4)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63.4(a)(5)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63.4(b)</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63.4(c)</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63.5(a)</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63.5(b)(1)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63.5(b)(2)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63.5(b)(3)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63.5(b)(4)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63.5(b)(5)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63.5(b)(6)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63.5(c)</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63.5(d)(1)(i)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63.5(d)(1)(ii)(A)-(H)</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63.5(d)(1)(ii)(I)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63.5(d)(1)(ii)(J)</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63.5(d)(1)(iii)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63.5(d)(</w:t>
            </w:r>
            <w:proofErr w:type="gramStart"/>
            <w:r w:rsidRPr="00EB486E">
              <w:rPr>
                <w:szCs w:val="22"/>
              </w:rPr>
              <w:t>2)-(</w:t>
            </w:r>
            <w:proofErr w:type="gramEnd"/>
            <w:r w:rsidRPr="00EB486E">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lastRenderedPageBreak/>
              <w:t>63.5(e)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63.5(f)</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63.6(a)</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63.6(b)(</w:t>
            </w:r>
            <w:proofErr w:type="gramStart"/>
            <w:r w:rsidRPr="00EB486E">
              <w:rPr>
                <w:szCs w:val="22"/>
              </w:rPr>
              <w:t>1)-(</w:t>
            </w:r>
            <w:proofErr w:type="gramEnd"/>
            <w:r w:rsidRPr="00EB486E">
              <w:rPr>
                <w:szCs w:val="22"/>
              </w:rPr>
              <w:t>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§63.749(a) specifies compliance dates for new sources.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63.6(b)(6)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63.6(b)(7)</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63.6(c)(1)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63.6(c)(2)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The standards in subpart GG are promulgated under section 112(d) of the Act.</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63.6(c)(</w:t>
            </w:r>
            <w:proofErr w:type="gramStart"/>
            <w:r w:rsidRPr="00EB486E">
              <w:rPr>
                <w:szCs w:val="22"/>
              </w:rPr>
              <w:t>3)-(</w:t>
            </w:r>
            <w:proofErr w:type="gramEnd"/>
            <w:r w:rsidRPr="00EB486E">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63.6(c)(5)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63.6(d)</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63.6(e)(1)(i)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i/>
                <w:iCs/>
                <w:szCs w:val="22"/>
              </w:rPr>
              <w:t>See</w:t>
            </w:r>
            <w:r w:rsidRPr="00EB486E">
              <w:rPr>
                <w:szCs w:val="22"/>
              </w:rPr>
              <w:t xml:space="preserve"> §63.743(e) for general duty requirement.</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63.6(e)(2)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Section 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63.6(e)(3)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63.6(f)(1)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63.6(f)(</w:t>
            </w:r>
            <w:proofErr w:type="gramStart"/>
            <w:r w:rsidRPr="00EB486E">
              <w:rPr>
                <w:szCs w:val="22"/>
              </w:rPr>
              <w:t>2)-(</w:t>
            </w:r>
            <w:proofErr w:type="gramEnd"/>
            <w:r w:rsidRPr="00EB486E">
              <w:rPr>
                <w:szCs w:val="22"/>
              </w:rPr>
              <w:t>f)(3)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63.6(h)</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The standards in subpart GG do not include opacity standards.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63.6(i)(</w:t>
            </w:r>
            <w:proofErr w:type="gramStart"/>
            <w:r w:rsidRPr="00EB486E">
              <w:rPr>
                <w:szCs w:val="22"/>
              </w:rPr>
              <w:t>1)-(</w:t>
            </w:r>
            <w:proofErr w:type="gramEnd"/>
            <w:r w:rsidRPr="00EB486E">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63.6(i)(4)(i)(A)</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63.6(i)(4)(i)(B)</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§63.743(a)(4) specifies that requests for extension of compliance must be submitted no later than 120 days before an affected source's compliance date.</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63.6(i)(4)(ii)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The standards in subpart GG are promulgated under section 112(d) of the Act.</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63.6(i)(</w:t>
            </w:r>
            <w:proofErr w:type="gramStart"/>
            <w:r w:rsidRPr="00EB486E">
              <w:rPr>
                <w:szCs w:val="22"/>
              </w:rPr>
              <w:t>5)-(</w:t>
            </w:r>
            <w:proofErr w:type="gramEnd"/>
            <w:r w:rsidRPr="00EB486E">
              <w:rPr>
                <w:szCs w:val="22"/>
              </w:rPr>
              <w:t>12)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63.6(i</w:t>
            </w:r>
            <w:proofErr w:type="gramStart"/>
            <w:r w:rsidRPr="00EB486E">
              <w:rPr>
                <w:szCs w:val="22"/>
              </w:rPr>
              <w:t>)(</w:t>
            </w:r>
            <w:proofErr w:type="gramEnd"/>
            <w:r w:rsidRPr="00EB486E">
              <w:rPr>
                <w:szCs w:val="22"/>
              </w:rPr>
              <w:t>13)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63.6(i</w:t>
            </w:r>
            <w:proofErr w:type="gramStart"/>
            <w:r w:rsidRPr="00EB486E">
              <w:rPr>
                <w:szCs w:val="22"/>
              </w:rPr>
              <w:t>)(</w:t>
            </w:r>
            <w:proofErr w:type="gramEnd"/>
            <w:r w:rsidRPr="00EB486E">
              <w:rPr>
                <w:szCs w:val="22"/>
              </w:rPr>
              <w:t>14)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63.6(i</w:t>
            </w:r>
            <w:proofErr w:type="gramStart"/>
            <w:r w:rsidRPr="00EB486E">
              <w:rPr>
                <w:szCs w:val="22"/>
              </w:rPr>
              <w:t>)(</w:t>
            </w:r>
            <w:proofErr w:type="gramEnd"/>
            <w:r w:rsidRPr="00EB486E">
              <w:rPr>
                <w:szCs w:val="22"/>
              </w:rPr>
              <w:t>15)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63.6(i</w:t>
            </w:r>
            <w:proofErr w:type="gramStart"/>
            <w:r w:rsidRPr="00EB486E">
              <w:rPr>
                <w:szCs w:val="22"/>
              </w:rPr>
              <w:t>)(</w:t>
            </w:r>
            <w:proofErr w:type="gramEnd"/>
            <w:r w:rsidRPr="00EB486E">
              <w:rPr>
                <w:szCs w:val="22"/>
              </w:rPr>
              <w:t>16)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lastRenderedPageBreak/>
              <w:t>63.6(j)</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63.7(a)(1)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63.7(a)(2)(i)-(vi)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63.7(a)(2)(vii)-(viii)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63.7(a)(2)(ix)</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63.7(a)(3)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63.7(b)</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63.7(c)</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63.7(d)</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63.7(e)(1)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i/>
                <w:iCs/>
                <w:szCs w:val="22"/>
              </w:rPr>
              <w:t>See</w:t>
            </w:r>
            <w:r w:rsidRPr="00EB486E">
              <w:rPr>
                <w:szCs w:val="22"/>
              </w:rPr>
              <w:t xml:space="preserve"> §63.749(j).</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63.7(e)(</w:t>
            </w:r>
            <w:proofErr w:type="gramStart"/>
            <w:r w:rsidRPr="00EB486E">
              <w:rPr>
                <w:szCs w:val="22"/>
              </w:rPr>
              <w:t>2)-(</w:t>
            </w:r>
            <w:proofErr w:type="gramEnd"/>
            <w:r w:rsidRPr="00EB486E">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63.7(f)</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63.7(g)(1)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63.7(g)(2)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63.7(g)(3)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63.7(h)</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63.8(a)(</w:t>
            </w:r>
            <w:proofErr w:type="gramStart"/>
            <w:r w:rsidRPr="00EB486E">
              <w:rPr>
                <w:szCs w:val="22"/>
              </w:rPr>
              <w:t>1)-(</w:t>
            </w:r>
            <w:proofErr w:type="gramEnd"/>
            <w:r w:rsidRPr="00EB486E">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63.8(a)(3)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63.8(a)(4)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63.8(b)</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63.8(c)(1)(i)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63.8(c)(</w:t>
            </w:r>
            <w:proofErr w:type="gramStart"/>
            <w:r w:rsidRPr="00EB486E">
              <w:rPr>
                <w:szCs w:val="22"/>
              </w:rPr>
              <w:t>2)-(</w:t>
            </w:r>
            <w:proofErr w:type="gramEnd"/>
            <w:r w:rsidRPr="00EB486E">
              <w:rPr>
                <w:szCs w:val="22"/>
              </w:rPr>
              <w:t>d)(2)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63.8(d)(3)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63.8(e)(</w:t>
            </w:r>
            <w:proofErr w:type="gramStart"/>
            <w:r w:rsidRPr="00EB486E">
              <w:rPr>
                <w:szCs w:val="22"/>
              </w:rPr>
              <w:t>1)-(</w:t>
            </w:r>
            <w:proofErr w:type="gramEnd"/>
            <w:r w:rsidRPr="00EB486E">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63.8(e)(5)(i)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63.8(e)(5)(ii)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The standards in subpart GG do not include opacity standards.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63.8(f)(1)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63.8(f)(2)(i)-(vii)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lastRenderedPageBreak/>
              <w:t>63.8(f)(2)(viii)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The standards in subpart GG do not include opacity standards.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63.8(f)(2)(ix)</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63.8(f)(</w:t>
            </w:r>
            <w:proofErr w:type="gramStart"/>
            <w:r w:rsidRPr="00EB486E">
              <w:rPr>
                <w:szCs w:val="22"/>
              </w:rPr>
              <w:t>3)-(</w:t>
            </w:r>
            <w:proofErr w:type="gramEnd"/>
            <w:r w:rsidRPr="00EB486E">
              <w:rPr>
                <w:szCs w:val="22"/>
              </w:rPr>
              <w:t>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63.8(g)</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63.9(a)</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63.9(b)(1)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63.9(b)(2)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§63.753(a)(1) requires submittal of the initial notification at least 1 year prior to the compliance date; §63.753(a)(2) allows a title V or part 70 permit application to be substituted for the initial notification in certain circumstances.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63.9(b)(3)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63.9(b)(4)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63.9(b)(5)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63.9(c)</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63.9(d)</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63.9(e)</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63.9(f)</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The standards in subpart GG do not include opacity standards.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63.9(g)(1)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63.9(g)(2)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The standards in subpart GG do not include opacity standards.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63.9(g)(3)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63.9(h)(</w:t>
            </w:r>
            <w:proofErr w:type="gramStart"/>
            <w:r w:rsidRPr="00EB486E">
              <w:rPr>
                <w:szCs w:val="22"/>
              </w:rPr>
              <w:t>1)-(</w:t>
            </w:r>
            <w:proofErr w:type="gramEnd"/>
            <w:r w:rsidRPr="00EB486E">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§63.753(a)(1) also specifies additional information to be included in the notification of compliance status.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63.9(h)(4)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63.9(h)(</w:t>
            </w:r>
            <w:proofErr w:type="gramStart"/>
            <w:r w:rsidRPr="00EB486E">
              <w:rPr>
                <w:szCs w:val="22"/>
              </w:rPr>
              <w:t>5)-(</w:t>
            </w:r>
            <w:proofErr w:type="gramEnd"/>
            <w:r w:rsidRPr="00EB486E">
              <w:rPr>
                <w:szCs w:val="22"/>
              </w:rPr>
              <w:t>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63.9(j)</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63.10(a)</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63.10(b)(1)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63.10(b)(2)(i)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63.10(b)(2)(ii)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i/>
                <w:iCs/>
                <w:szCs w:val="22"/>
              </w:rPr>
              <w:t>See</w:t>
            </w:r>
            <w:r w:rsidRPr="00EB486E">
              <w:rPr>
                <w:szCs w:val="22"/>
              </w:rPr>
              <w:t xml:space="preserve"> §63.752(a) for recordkeeping of (1) date, time, and duration; (2) listing of affected source or equipment, and an estimate of the quantity of each regulated pollutant emitted over the standard; and (3) actions to minimize emissions and correct the failure.</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lastRenderedPageBreak/>
              <w:t>63.10(b)(2)(iii)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63.10(b)(2)(iv)-(v)</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63.10(b)(2)(vi)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63.10(b)(2)(vi)(A)-(C)</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§63.10(b)(vii)(A), (B) and (C) do not apply because subpart GG does not require the use of CEMS.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63.10(b)(2)(vii)-(xiv)</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63.10(b)(3)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63.10(c)(1)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63.10(c)(</w:t>
            </w:r>
            <w:proofErr w:type="gramStart"/>
            <w:r w:rsidRPr="00EB486E">
              <w:rPr>
                <w:szCs w:val="22"/>
              </w:rPr>
              <w:t>2)-(</w:t>
            </w:r>
            <w:proofErr w:type="gramEnd"/>
            <w:r w:rsidRPr="00EB486E">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63.10(c)(</w:t>
            </w:r>
            <w:proofErr w:type="gramStart"/>
            <w:r w:rsidRPr="00EB486E">
              <w:rPr>
                <w:szCs w:val="22"/>
              </w:rPr>
              <w:t>5)-(</w:t>
            </w:r>
            <w:proofErr w:type="gramEnd"/>
            <w:r w:rsidRPr="00EB486E">
              <w:rPr>
                <w:szCs w:val="22"/>
              </w:rPr>
              <w:t>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63.10(c)(</w:t>
            </w:r>
            <w:proofErr w:type="gramStart"/>
            <w:r w:rsidRPr="00EB486E">
              <w:rPr>
                <w:szCs w:val="22"/>
              </w:rPr>
              <w:t>7)-(</w:t>
            </w:r>
            <w:proofErr w:type="gramEnd"/>
            <w:r w:rsidRPr="00EB486E">
              <w:rPr>
                <w:szCs w:val="22"/>
              </w:rPr>
              <w:t>8)</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63.10(c)(9)</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Reserved.</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63.10(c</w:t>
            </w:r>
            <w:proofErr w:type="gramStart"/>
            <w:r w:rsidRPr="00EB486E">
              <w:rPr>
                <w:szCs w:val="22"/>
              </w:rPr>
              <w:t>)(</w:t>
            </w:r>
            <w:proofErr w:type="gramEnd"/>
            <w:r w:rsidRPr="00EB486E">
              <w:rPr>
                <w:szCs w:val="22"/>
              </w:rPr>
              <w:t>10)-(13)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63.10(c</w:t>
            </w:r>
            <w:proofErr w:type="gramStart"/>
            <w:r w:rsidRPr="00EB486E">
              <w:rPr>
                <w:szCs w:val="22"/>
              </w:rPr>
              <w:t>)(</w:t>
            </w:r>
            <w:proofErr w:type="gramEnd"/>
            <w:r w:rsidRPr="00EB486E">
              <w:rPr>
                <w:szCs w:val="22"/>
              </w:rPr>
              <w:t>14)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§63.8(d) does not apply to this subpart.</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63.10(c</w:t>
            </w:r>
            <w:proofErr w:type="gramStart"/>
            <w:r w:rsidRPr="00EB486E">
              <w:rPr>
                <w:szCs w:val="22"/>
              </w:rPr>
              <w:t>)(</w:t>
            </w:r>
            <w:proofErr w:type="gramEnd"/>
            <w:r w:rsidRPr="00EB486E">
              <w:rPr>
                <w:szCs w:val="22"/>
              </w:rPr>
              <w:t>15)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63.10(d)(</w:t>
            </w:r>
            <w:proofErr w:type="gramStart"/>
            <w:r w:rsidRPr="00EB486E">
              <w:rPr>
                <w:szCs w:val="22"/>
              </w:rPr>
              <w:t>1)-(</w:t>
            </w:r>
            <w:proofErr w:type="gramEnd"/>
            <w:r w:rsidRPr="00EB486E">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63.10(d)(3)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The standards in subpart GG do not include opacity standards.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63.10(d)(4)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63.10(d)(5)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i/>
                <w:iCs/>
                <w:szCs w:val="22"/>
              </w:rPr>
              <w:t>See</w:t>
            </w:r>
            <w:r w:rsidRPr="00EB486E">
              <w:rPr>
                <w:szCs w:val="22"/>
              </w:rPr>
              <w:t xml:space="preserve"> §63.753(a)(5) for malfunction reporting requirements.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w:t>
            </w:r>
            <w:proofErr w:type="gramStart"/>
            <w:r w:rsidRPr="00EB486E">
              <w:rPr>
                <w:szCs w:val="22"/>
              </w:rPr>
              <w:t>10)(</w:t>
            </w:r>
            <w:proofErr w:type="gramEnd"/>
            <w:r w:rsidRPr="00EB486E">
              <w:rPr>
                <w:szCs w:val="22"/>
              </w:rPr>
              <w:t>e)(1)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63.10(e)(2)(i)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The standards in subpart GG do not include opacity standards.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63.10(e)(3)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63.10(e)(4)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The standards in subpart GG do not include opacity standards.</w:t>
            </w: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63.10(f)</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63.11</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63.12</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63.13</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63.14</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63.15</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r w:rsidR="00EB486E" w:rsidRPr="00EB486E" w:rsidTr="00EB486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lastRenderedPageBreak/>
              <w:t>63.16</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r w:rsidRPr="00EB486E">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EB486E" w:rsidRPr="00EB486E" w:rsidRDefault="00EB486E" w:rsidP="00EB486E">
            <w:pPr>
              <w:rPr>
                <w:szCs w:val="22"/>
              </w:rPr>
            </w:pPr>
          </w:p>
        </w:tc>
      </w:tr>
    </w:tbl>
    <w:p w:rsidR="00EB486E" w:rsidRPr="00EB486E" w:rsidRDefault="00EB486E" w:rsidP="00EB486E">
      <w:pPr>
        <w:pStyle w:val="cita"/>
        <w:rPr>
          <w:sz w:val="22"/>
          <w:szCs w:val="22"/>
        </w:rPr>
      </w:pPr>
      <w:r w:rsidRPr="00EB486E">
        <w:rPr>
          <w:sz w:val="22"/>
          <w:szCs w:val="22"/>
        </w:rPr>
        <w:t>[80 FR 76188, Dec. 7, 2015]</w:t>
      </w:r>
    </w:p>
    <w:p w:rsidR="00EB486E" w:rsidRPr="00EB486E" w:rsidRDefault="00EB486E" w:rsidP="00EB486E">
      <w:pPr>
        <w:pStyle w:val="Heading2"/>
        <w:rPr>
          <w:rFonts w:ascii="Times New Roman" w:hAnsi="Times New Roman" w:cs="Times New Roman"/>
          <w:sz w:val="22"/>
          <w:szCs w:val="22"/>
        </w:rPr>
      </w:pPr>
      <w:bookmarkStart w:id="49" w:name="ap40.12.63_1759.a"/>
      <w:bookmarkEnd w:id="49"/>
      <w:r w:rsidRPr="00EB486E">
        <w:rPr>
          <w:rFonts w:ascii="Times New Roman" w:hAnsi="Times New Roman" w:cs="Times New Roman"/>
          <w:sz w:val="22"/>
          <w:szCs w:val="22"/>
        </w:rPr>
        <w:t>Appendix A to Subpart GG of Part 63—Specialty Coating Definitions</w:t>
      </w:r>
    </w:p>
    <w:p w:rsidR="00EB486E" w:rsidRPr="00EB486E" w:rsidRDefault="00EB486E" w:rsidP="00EB486E">
      <w:pPr>
        <w:pStyle w:val="NormalWeb"/>
        <w:rPr>
          <w:sz w:val="22"/>
          <w:szCs w:val="22"/>
        </w:rPr>
      </w:pPr>
      <w:r w:rsidRPr="00EB486E">
        <w:rPr>
          <w:i/>
          <w:iCs/>
          <w:sz w:val="22"/>
          <w:szCs w:val="22"/>
        </w:rPr>
        <w:t>Ablative coating</w:t>
      </w:r>
      <w:r w:rsidRPr="00EB486E">
        <w:rPr>
          <w:sz w:val="22"/>
          <w:szCs w:val="22"/>
        </w:rPr>
        <w:t>—A coating that chars when exposed to open flame or extreme temperatures, as would occur during the failure of an engine casing or during aerodynamic heating. The ablative char surface serves as an insulative barrier, protecting adjacent components from the heat or open flame.</w:t>
      </w:r>
    </w:p>
    <w:p w:rsidR="00EB486E" w:rsidRPr="00EB486E" w:rsidRDefault="00EB486E" w:rsidP="00EB486E">
      <w:pPr>
        <w:pStyle w:val="NormalWeb"/>
        <w:rPr>
          <w:sz w:val="22"/>
          <w:szCs w:val="22"/>
        </w:rPr>
      </w:pPr>
      <w:r w:rsidRPr="00EB486E">
        <w:rPr>
          <w:i/>
          <w:iCs/>
          <w:sz w:val="22"/>
          <w:szCs w:val="22"/>
        </w:rPr>
        <w:t>Adhesion promoter</w:t>
      </w:r>
      <w:r w:rsidRPr="00EB486E">
        <w:rPr>
          <w:sz w:val="22"/>
          <w:szCs w:val="22"/>
        </w:rPr>
        <w:t>—A very thin coating applied to a substrate to promote wetting and form a chemical bond with the subsequently applied material.</w:t>
      </w:r>
    </w:p>
    <w:p w:rsidR="00EB486E" w:rsidRPr="00EB486E" w:rsidRDefault="00EB486E" w:rsidP="00EB486E">
      <w:pPr>
        <w:pStyle w:val="NormalWeb"/>
        <w:rPr>
          <w:sz w:val="22"/>
          <w:szCs w:val="22"/>
        </w:rPr>
      </w:pPr>
      <w:r w:rsidRPr="00EB486E">
        <w:rPr>
          <w:i/>
          <w:iCs/>
          <w:sz w:val="22"/>
          <w:szCs w:val="22"/>
        </w:rPr>
        <w:t>Adhesive bonding primer</w:t>
      </w:r>
      <w:r w:rsidRPr="00EB486E">
        <w:rPr>
          <w:sz w:val="22"/>
          <w:szCs w:val="22"/>
        </w:rPr>
        <w:t xml:space="preserve">—A primer applied in a thin film to aerospace components </w:t>
      </w:r>
      <w:proofErr w:type="gramStart"/>
      <w:r w:rsidRPr="00EB486E">
        <w:rPr>
          <w:sz w:val="22"/>
          <w:szCs w:val="22"/>
        </w:rPr>
        <w:t>for the purpose of</w:t>
      </w:r>
      <w:proofErr w:type="gramEnd"/>
      <w:r w:rsidRPr="00EB486E">
        <w:rPr>
          <w:sz w:val="22"/>
          <w:szCs w:val="22"/>
        </w:rPr>
        <w:t xml:space="preserve"> corrosion inhibition and increased adhesive bond strength by attachment. There are two categories of adhesive bonding primers: primers with a design cure at 250 °F or below and primers with a design cure above 250 °F.</w:t>
      </w:r>
    </w:p>
    <w:p w:rsidR="00EB486E" w:rsidRPr="00EB486E" w:rsidRDefault="00EB486E" w:rsidP="00EB486E">
      <w:pPr>
        <w:pStyle w:val="NormalWeb"/>
        <w:rPr>
          <w:sz w:val="22"/>
          <w:szCs w:val="22"/>
        </w:rPr>
      </w:pPr>
      <w:r w:rsidRPr="00EB486E">
        <w:rPr>
          <w:i/>
          <w:iCs/>
          <w:sz w:val="22"/>
          <w:szCs w:val="22"/>
        </w:rPr>
        <w:t>Aerosol coating</w:t>
      </w:r>
      <w:r w:rsidRPr="00EB486E">
        <w:rPr>
          <w:sz w:val="22"/>
          <w:szCs w:val="22"/>
        </w:rPr>
        <w:t>—A hand-held, pressurized, nonrefillable container that expels an adhesive or a coating in a finely divided spray when a valve on the container is depressed.</w:t>
      </w:r>
    </w:p>
    <w:p w:rsidR="00EB486E" w:rsidRPr="00EB486E" w:rsidRDefault="00EB486E" w:rsidP="00EB486E">
      <w:pPr>
        <w:pStyle w:val="NormalWeb"/>
        <w:rPr>
          <w:sz w:val="22"/>
          <w:szCs w:val="22"/>
        </w:rPr>
      </w:pPr>
      <w:r w:rsidRPr="00EB486E">
        <w:rPr>
          <w:i/>
          <w:iCs/>
          <w:sz w:val="22"/>
          <w:szCs w:val="22"/>
        </w:rPr>
        <w:t>Antichafe coating</w:t>
      </w:r>
      <w:r w:rsidRPr="00EB486E">
        <w:rPr>
          <w:sz w:val="22"/>
          <w:szCs w:val="22"/>
        </w:rPr>
        <w:t>—A coating applied to areas of moving aerospace components that may rub during normal operations or installation.</w:t>
      </w:r>
    </w:p>
    <w:p w:rsidR="00EB486E" w:rsidRPr="00EB486E" w:rsidRDefault="00EB486E" w:rsidP="00EB486E">
      <w:pPr>
        <w:pStyle w:val="NormalWeb"/>
        <w:rPr>
          <w:sz w:val="22"/>
          <w:szCs w:val="22"/>
        </w:rPr>
      </w:pPr>
      <w:r w:rsidRPr="00EB486E">
        <w:rPr>
          <w:i/>
          <w:iCs/>
          <w:sz w:val="22"/>
          <w:szCs w:val="22"/>
        </w:rPr>
        <w:t>Bearing coating</w:t>
      </w:r>
      <w:r w:rsidRPr="00EB486E">
        <w:rPr>
          <w:sz w:val="22"/>
          <w:szCs w:val="22"/>
        </w:rPr>
        <w:t xml:space="preserve">—A coating applied to an antifriction bearing, a bearing housing, or the area adjacent to such a bearing </w:t>
      </w:r>
      <w:proofErr w:type="gramStart"/>
      <w:r w:rsidRPr="00EB486E">
        <w:rPr>
          <w:sz w:val="22"/>
          <w:szCs w:val="22"/>
        </w:rPr>
        <w:t>in order to</w:t>
      </w:r>
      <w:proofErr w:type="gramEnd"/>
      <w:r w:rsidRPr="00EB486E">
        <w:rPr>
          <w:sz w:val="22"/>
          <w:szCs w:val="22"/>
        </w:rPr>
        <w:t xml:space="preserve"> facilitate bearing function or to protect base material from excessive wear. A material shall not be classified as a bearing coating if it can also be classified as a dry lubricative material or a solid film lubricant.</w:t>
      </w:r>
    </w:p>
    <w:p w:rsidR="00EB486E" w:rsidRPr="00EB486E" w:rsidRDefault="00EB486E" w:rsidP="00EB486E">
      <w:pPr>
        <w:pStyle w:val="NormalWeb"/>
        <w:rPr>
          <w:sz w:val="22"/>
          <w:szCs w:val="22"/>
        </w:rPr>
      </w:pPr>
      <w:r w:rsidRPr="00EB486E">
        <w:rPr>
          <w:i/>
          <w:iCs/>
          <w:sz w:val="22"/>
          <w:szCs w:val="22"/>
        </w:rPr>
        <w:t>Bonding maskant</w:t>
      </w:r>
      <w:r w:rsidRPr="00EB486E">
        <w:rPr>
          <w:sz w:val="22"/>
          <w:szCs w:val="22"/>
        </w:rPr>
        <w:t>—A temporary coating used to protect selected areas of aerospace parts from strong acid or alkaline solutions during processing for bonding.</w:t>
      </w:r>
    </w:p>
    <w:p w:rsidR="00EB486E" w:rsidRPr="00EB486E" w:rsidRDefault="00EB486E" w:rsidP="00EB486E">
      <w:pPr>
        <w:pStyle w:val="NormalWeb"/>
        <w:rPr>
          <w:sz w:val="22"/>
          <w:szCs w:val="22"/>
        </w:rPr>
      </w:pPr>
      <w:r w:rsidRPr="00EB486E">
        <w:rPr>
          <w:i/>
          <w:iCs/>
          <w:sz w:val="22"/>
          <w:szCs w:val="22"/>
        </w:rPr>
        <w:t>Caulking and smoothing compounds</w:t>
      </w:r>
      <w:r w:rsidRPr="00EB486E">
        <w:rPr>
          <w:sz w:val="22"/>
          <w:szCs w:val="22"/>
        </w:rPr>
        <w:t>—Semi-solid materials which are applied by hand application methods and are used to aerodynamically smooth exterior vehicle surfaces or fill cavities such as bolt hole accesses. A material shall not be classified as a caulking and smoothing compound if it can also be classified as a sealant.</w:t>
      </w:r>
    </w:p>
    <w:p w:rsidR="00EB486E" w:rsidRPr="00EB486E" w:rsidRDefault="00EB486E" w:rsidP="00EB486E">
      <w:pPr>
        <w:pStyle w:val="NormalWeb"/>
        <w:rPr>
          <w:sz w:val="22"/>
          <w:szCs w:val="22"/>
        </w:rPr>
      </w:pPr>
      <w:r w:rsidRPr="00EB486E">
        <w:rPr>
          <w:i/>
          <w:iCs/>
          <w:sz w:val="22"/>
          <w:szCs w:val="22"/>
        </w:rPr>
        <w:t>Chemical agent-resistant coating (CARC)</w:t>
      </w:r>
      <w:r w:rsidRPr="00EB486E">
        <w:rPr>
          <w:sz w:val="22"/>
          <w:szCs w:val="22"/>
        </w:rPr>
        <w:t>—An exterior topcoat designed to withstand exposure to chemical warfare agents or the decontaminants used on these agents.</w:t>
      </w:r>
    </w:p>
    <w:p w:rsidR="00EB486E" w:rsidRPr="00EB486E" w:rsidRDefault="00EB486E" w:rsidP="00EB486E">
      <w:pPr>
        <w:pStyle w:val="NormalWeb"/>
        <w:rPr>
          <w:sz w:val="22"/>
          <w:szCs w:val="22"/>
        </w:rPr>
      </w:pPr>
      <w:r w:rsidRPr="00EB486E">
        <w:rPr>
          <w:i/>
          <w:iCs/>
          <w:sz w:val="22"/>
          <w:szCs w:val="22"/>
        </w:rPr>
        <w:t>Clear coating</w:t>
      </w:r>
      <w:r w:rsidRPr="00EB486E">
        <w:rPr>
          <w:sz w:val="22"/>
          <w:szCs w:val="22"/>
        </w:rPr>
        <w:t>—A transparent coating usually applied over a colored opaque coating, metallic substrate, or placard to give improved gloss and protection to the color coat. In some cases, a clearcoat refers to any transparent coating without regard to substrate.</w:t>
      </w:r>
    </w:p>
    <w:p w:rsidR="00EB486E" w:rsidRPr="00EB486E" w:rsidRDefault="00EB486E" w:rsidP="00EB486E">
      <w:pPr>
        <w:pStyle w:val="NormalWeb"/>
        <w:rPr>
          <w:sz w:val="22"/>
          <w:szCs w:val="22"/>
        </w:rPr>
      </w:pPr>
      <w:r w:rsidRPr="00EB486E">
        <w:rPr>
          <w:i/>
          <w:iCs/>
          <w:sz w:val="22"/>
          <w:szCs w:val="22"/>
        </w:rPr>
        <w:t>Commercial exterior aerodynamic structure primer</w:t>
      </w:r>
      <w:r w:rsidRPr="00EB486E">
        <w:rPr>
          <w:sz w:val="22"/>
          <w:szCs w:val="22"/>
        </w:rPr>
        <w:t xml:space="preserve">—A primer used on aerodynamic components and structures that protrude from the fuselage, such as wings and attached components, control surfaces, horizontal stabilizers, vertical fins, wing-to-body fairings, antennae, and landing gear and doors, </w:t>
      </w:r>
      <w:proofErr w:type="gramStart"/>
      <w:r w:rsidRPr="00EB486E">
        <w:rPr>
          <w:sz w:val="22"/>
          <w:szCs w:val="22"/>
        </w:rPr>
        <w:t>for the purpose of</w:t>
      </w:r>
      <w:proofErr w:type="gramEnd"/>
      <w:r w:rsidRPr="00EB486E">
        <w:rPr>
          <w:sz w:val="22"/>
          <w:szCs w:val="22"/>
        </w:rPr>
        <w:t xml:space="preserve"> extended corrosion protection and enhanced adhesion.</w:t>
      </w:r>
    </w:p>
    <w:p w:rsidR="00EB486E" w:rsidRPr="00EB486E" w:rsidRDefault="00EB486E" w:rsidP="00EB486E">
      <w:pPr>
        <w:pStyle w:val="NormalWeb"/>
        <w:rPr>
          <w:sz w:val="22"/>
          <w:szCs w:val="22"/>
        </w:rPr>
      </w:pPr>
      <w:r w:rsidRPr="00EB486E">
        <w:rPr>
          <w:i/>
          <w:iCs/>
          <w:sz w:val="22"/>
          <w:szCs w:val="22"/>
        </w:rPr>
        <w:lastRenderedPageBreak/>
        <w:t>Commercial interior adhesive</w:t>
      </w:r>
      <w:r w:rsidRPr="00EB486E">
        <w:rPr>
          <w:sz w:val="22"/>
          <w:szCs w:val="22"/>
        </w:rPr>
        <w:t>—Materials used in the bonding of passenger cabin interior components. These components must meet the FAA fireworthiness requirements.</w:t>
      </w:r>
    </w:p>
    <w:p w:rsidR="00EB486E" w:rsidRPr="00EB486E" w:rsidRDefault="00EB486E" w:rsidP="00EB486E">
      <w:pPr>
        <w:pStyle w:val="NormalWeb"/>
        <w:rPr>
          <w:sz w:val="22"/>
          <w:szCs w:val="22"/>
        </w:rPr>
      </w:pPr>
      <w:r w:rsidRPr="00EB486E">
        <w:rPr>
          <w:i/>
          <w:iCs/>
          <w:sz w:val="22"/>
          <w:szCs w:val="22"/>
        </w:rPr>
        <w:t>Compatible substrate primer</w:t>
      </w:r>
      <w:r w:rsidRPr="00EB486E">
        <w:rPr>
          <w:sz w:val="22"/>
          <w:szCs w:val="22"/>
        </w:rPr>
        <w:t xml:space="preserve">—Includes two categories: compatible epoxy primer and adhesive primer. </w:t>
      </w:r>
      <w:r w:rsidRPr="00EB486E">
        <w:rPr>
          <w:i/>
          <w:iCs/>
          <w:sz w:val="22"/>
          <w:szCs w:val="22"/>
        </w:rPr>
        <w:t>Compatible epoxy primer</w:t>
      </w:r>
      <w:r w:rsidRPr="00EB486E">
        <w:rPr>
          <w:sz w:val="22"/>
          <w:szCs w:val="22"/>
        </w:rPr>
        <w:t xml:space="preserve"> is primer that is compatible with the filled elastomeric coating and is epoxy based. The compatible substrate primer is an epoxy-polyamide primer used to promote adhesion of elastomeric coatings such as impact-resistant coatings. </w:t>
      </w:r>
      <w:r w:rsidRPr="00EB486E">
        <w:rPr>
          <w:i/>
          <w:iCs/>
          <w:sz w:val="22"/>
          <w:szCs w:val="22"/>
        </w:rPr>
        <w:t>Adhesive primer</w:t>
      </w:r>
      <w:r w:rsidRPr="00EB486E">
        <w:rPr>
          <w:sz w:val="22"/>
          <w:szCs w:val="22"/>
        </w:rPr>
        <w:t xml:space="preserve"> is a coating that (1) inhibits corrosion and serves as a primer applied to bare metal surfaces or prior to adhesive application, or (2) is applied to surfaces that can be expected to contain fuel. Fuel tank coatings are excluded from this category.</w:t>
      </w:r>
    </w:p>
    <w:p w:rsidR="00EB486E" w:rsidRPr="00EB486E" w:rsidRDefault="00EB486E" w:rsidP="00EB486E">
      <w:pPr>
        <w:pStyle w:val="NormalWeb"/>
        <w:rPr>
          <w:sz w:val="22"/>
          <w:szCs w:val="22"/>
        </w:rPr>
      </w:pPr>
      <w:r w:rsidRPr="00EB486E">
        <w:rPr>
          <w:i/>
          <w:iCs/>
          <w:sz w:val="22"/>
          <w:szCs w:val="22"/>
        </w:rPr>
        <w:t>Corrosion prevention system</w:t>
      </w:r>
      <w:r w:rsidRPr="00EB486E">
        <w:rPr>
          <w:sz w:val="22"/>
          <w:szCs w:val="22"/>
        </w:rPr>
        <w:t>—A coating system that provides corrosion protection by displacing water and penetrating mating surfaces, forming a protective barrier between the metal surface and moisture. Coatings containing oils or waxes are excluded from this category.</w:t>
      </w:r>
    </w:p>
    <w:p w:rsidR="00EB486E" w:rsidRPr="00EB486E" w:rsidRDefault="00EB486E" w:rsidP="00EB486E">
      <w:pPr>
        <w:pStyle w:val="NormalWeb"/>
        <w:rPr>
          <w:sz w:val="22"/>
          <w:szCs w:val="22"/>
        </w:rPr>
      </w:pPr>
      <w:r w:rsidRPr="00EB486E">
        <w:rPr>
          <w:i/>
          <w:iCs/>
          <w:sz w:val="22"/>
          <w:szCs w:val="22"/>
        </w:rPr>
        <w:t>Critical use and line sealer maskant</w:t>
      </w:r>
      <w:r w:rsidRPr="00EB486E">
        <w:rPr>
          <w:sz w:val="22"/>
          <w:szCs w:val="22"/>
        </w:rPr>
        <w:t>—A temporary coating, not covered under other maskant categories, used to protect selected areas of aerospace parts from strong acid or alkaline solutions such as those used in anodizing, plating, chemical milling and processing of magnesium, titanium, high-strength steel, high-precision aluminum chemical milling of deep cuts, and aluminum chemical milling of complex shapes. Materials used for repairs or to bridge gaps left by scribing operations (i.e. line sealer) are also included in this category.</w:t>
      </w:r>
    </w:p>
    <w:p w:rsidR="00EB486E" w:rsidRPr="00EB486E" w:rsidRDefault="00EB486E" w:rsidP="00EB486E">
      <w:pPr>
        <w:pStyle w:val="NormalWeb"/>
        <w:rPr>
          <w:sz w:val="22"/>
          <w:szCs w:val="22"/>
        </w:rPr>
      </w:pPr>
      <w:r w:rsidRPr="00EB486E">
        <w:rPr>
          <w:i/>
          <w:iCs/>
          <w:sz w:val="22"/>
          <w:szCs w:val="22"/>
        </w:rPr>
        <w:t>Cryogenic flexible primer</w:t>
      </w:r>
      <w:r w:rsidRPr="00EB486E">
        <w:rPr>
          <w:sz w:val="22"/>
          <w:szCs w:val="22"/>
        </w:rPr>
        <w:t>—A primer designed to provide corrosion resistance, flexibility, and adhesion of subsequent coating systems when exposed to loads up to and surpassing the yield point of the substrate at cryogenic temperatures (−275 °F and below).</w:t>
      </w:r>
    </w:p>
    <w:p w:rsidR="00EB486E" w:rsidRPr="00EB486E" w:rsidRDefault="00EB486E" w:rsidP="00EB486E">
      <w:pPr>
        <w:pStyle w:val="NormalWeb"/>
        <w:rPr>
          <w:sz w:val="22"/>
          <w:szCs w:val="22"/>
        </w:rPr>
      </w:pPr>
      <w:r w:rsidRPr="00EB486E">
        <w:rPr>
          <w:i/>
          <w:iCs/>
          <w:sz w:val="22"/>
          <w:szCs w:val="22"/>
        </w:rPr>
        <w:t>Cryoprotective coating</w:t>
      </w:r>
      <w:r w:rsidRPr="00EB486E">
        <w:rPr>
          <w:sz w:val="22"/>
          <w:szCs w:val="22"/>
        </w:rPr>
        <w:t>—A coating that insulates cryogenic or subcooled surfaces to limit propellant boil-off, maintain structural integrity of metallic structures during ascent or re-entry, and prevent ice formation.</w:t>
      </w:r>
    </w:p>
    <w:p w:rsidR="00EB486E" w:rsidRPr="00EB486E" w:rsidRDefault="00EB486E" w:rsidP="00EB486E">
      <w:pPr>
        <w:pStyle w:val="NormalWeb"/>
        <w:rPr>
          <w:sz w:val="22"/>
          <w:szCs w:val="22"/>
        </w:rPr>
      </w:pPr>
      <w:r w:rsidRPr="00EB486E">
        <w:rPr>
          <w:i/>
          <w:iCs/>
          <w:sz w:val="22"/>
          <w:szCs w:val="22"/>
        </w:rPr>
        <w:t>Cyanoacrylate adhesive</w:t>
      </w:r>
      <w:r w:rsidRPr="00EB486E">
        <w:rPr>
          <w:sz w:val="22"/>
          <w:szCs w:val="22"/>
        </w:rPr>
        <w:t xml:space="preserve">—A fast-setting, single component adhesive that cures at room temperature. </w:t>
      </w:r>
      <w:proofErr w:type="gramStart"/>
      <w:r w:rsidRPr="00EB486E">
        <w:rPr>
          <w:sz w:val="22"/>
          <w:szCs w:val="22"/>
        </w:rPr>
        <w:t>Also</w:t>
      </w:r>
      <w:proofErr w:type="gramEnd"/>
      <w:r w:rsidRPr="00EB486E">
        <w:rPr>
          <w:sz w:val="22"/>
          <w:szCs w:val="22"/>
        </w:rPr>
        <w:t xml:space="preserve"> known as “super glue.”</w:t>
      </w:r>
    </w:p>
    <w:p w:rsidR="00EB486E" w:rsidRPr="00EB486E" w:rsidRDefault="00EB486E" w:rsidP="00EB486E">
      <w:pPr>
        <w:pStyle w:val="NormalWeb"/>
        <w:rPr>
          <w:sz w:val="22"/>
          <w:szCs w:val="22"/>
        </w:rPr>
      </w:pPr>
      <w:r w:rsidRPr="00EB486E">
        <w:rPr>
          <w:i/>
          <w:iCs/>
          <w:sz w:val="22"/>
          <w:szCs w:val="22"/>
        </w:rPr>
        <w:t>Dry lubricative material</w:t>
      </w:r>
      <w:r w:rsidRPr="00EB486E">
        <w:rPr>
          <w:sz w:val="22"/>
          <w:szCs w:val="22"/>
        </w:rPr>
        <w:t>—A coating consisting of lauric acid, cetyl alcohol, waxes, or other non-cross linked or resin-bound materials which act as a dry lubricant.</w:t>
      </w:r>
    </w:p>
    <w:p w:rsidR="00EB486E" w:rsidRPr="00EB486E" w:rsidRDefault="00EB486E" w:rsidP="00EB486E">
      <w:pPr>
        <w:pStyle w:val="NormalWeb"/>
        <w:rPr>
          <w:sz w:val="22"/>
          <w:szCs w:val="22"/>
        </w:rPr>
      </w:pPr>
      <w:r w:rsidRPr="00EB486E">
        <w:rPr>
          <w:i/>
          <w:iCs/>
          <w:sz w:val="22"/>
          <w:szCs w:val="22"/>
        </w:rPr>
        <w:t>Electric or radiation-effect coating</w:t>
      </w:r>
      <w:r w:rsidRPr="00EB486E">
        <w:rPr>
          <w:sz w:val="22"/>
          <w:szCs w:val="22"/>
        </w:rPr>
        <w:t>—A coating or coating system engineered to interact, through absorption or reflection, with specific regions of the electromagnetic energy spectrum, such as the ultraviolet, visible, infrared, or microwave regions. Uses include, but are not limited to, lightning strike protection, electromagnetic pulse (EMP) protection, and radar avoidance. Coatings that have been designated as “Classified National Security Information” by the Department of Defense are exempt.</w:t>
      </w:r>
    </w:p>
    <w:p w:rsidR="00EB486E" w:rsidRPr="00EB486E" w:rsidRDefault="00EB486E" w:rsidP="00EB486E">
      <w:pPr>
        <w:pStyle w:val="NormalWeb"/>
        <w:rPr>
          <w:sz w:val="22"/>
          <w:szCs w:val="22"/>
        </w:rPr>
      </w:pPr>
      <w:r w:rsidRPr="00EB486E">
        <w:rPr>
          <w:i/>
          <w:iCs/>
          <w:sz w:val="22"/>
          <w:szCs w:val="22"/>
        </w:rPr>
        <w:t>Electrostatic discharge and electromagnetic interference (EMI) coating</w:t>
      </w:r>
      <w:r w:rsidRPr="00EB486E">
        <w:rPr>
          <w:sz w:val="22"/>
          <w:szCs w:val="22"/>
        </w:rPr>
        <w:t>—A coating applied to aerospace vehicles and components to disperse static energy or reduce electromagnetic interference.</w:t>
      </w:r>
    </w:p>
    <w:p w:rsidR="00EB486E" w:rsidRPr="00EB486E" w:rsidRDefault="00EB486E" w:rsidP="00EB486E">
      <w:pPr>
        <w:pStyle w:val="NormalWeb"/>
        <w:rPr>
          <w:sz w:val="22"/>
          <w:szCs w:val="22"/>
        </w:rPr>
      </w:pPr>
      <w:r w:rsidRPr="00EB486E">
        <w:rPr>
          <w:i/>
          <w:iCs/>
          <w:sz w:val="22"/>
          <w:szCs w:val="22"/>
        </w:rPr>
        <w:t>Elevated-temperature Skydrol-resistant commercial primer</w:t>
      </w:r>
      <w:r w:rsidRPr="00EB486E">
        <w:rPr>
          <w:sz w:val="22"/>
          <w:szCs w:val="22"/>
        </w:rPr>
        <w:t>—A primer applied primarily to commercial aircraft (or commercial aircraft adapted for military use) that must withstand immersion in phosphate-ester (PE) hydraulic fluid (Skydrol 500b or equivalent) at the elevated temperature of 150 °F for 1,000 hours.</w:t>
      </w:r>
    </w:p>
    <w:p w:rsidR="00EB486E" w:rsidRPr="00EB486E" w:rsidRDefault="00EB486E" w:rsidP="00EB486E">
      <w:pPr>
        <w:pStyle w:val="NormalWeb"/>
        <w:rPr>
          <w:sz w:val="22"/>
          <w:szCs w:val="22"/>
        </w:rPr>
      </w:pPr>
      <w:r w:rsidRPr="00EB486E">
        <w:rPr>
          <w:i/>
          <w:iCs/>
          <w:sz w:val="22"/>
          <w:szCs w:val="22"/>
        </w:rPr>
        <w:t>Epoxy polyamide topcoat</w:t>
      </w:r>
      <w:r w:rsidRPr="00EB486E">
        <w:rPr>
          <w:sz w:val="22"/>
          <w:szCs w:val="22"/>
        </w:rPr>
        <w:t>—A coating used where harder films are required or in some areas where engraving is accomplished in camouflage colors.</w:t>
      </w:r>
    </w:p>
    <w:p w:rsidR="00EB486E" w:rsidRPr="00EB486E" w:rsidRDefault="00EB486E" w:rsidP="00EB486E">
      <w:pPr>
        <w:pStyle w:val="NormalWeb"/>
        <w:rPr>
          <w:sz w:val="22"/>
          <w:szCs w:val="22"/>
        </w:rPr>
      </w:pPr>
      <w:r w:rsidRPr="00EB486E">
        <w:rPr>
          <w:i/>
          <w:iCs/>
          <w:sz w:val="22"/>
          <w:szCs w:val="22"/>
        </w:rPr>
        <w:lastRenderedPageBreak/>
        <w:t>Fire-resistant (interior) coating</w:t>
      </w:r>
      <w:r w:rsidRPr="00EB486E">
        <w:rPr>
          <w:sz w:val="22"/>
          <w:szCs w:val="22"/>
        </w:rPr>
        <w:t>—For civilian aircraft, fire-resistant interior coatings are used on passenger cabin interior parts that are subject to the FAA fireworthiness requirements. For military aircraft, fire-resistant interior coatings are used on parts subject to the flammability requirements of MIL-STD-1630A and MIL-A-87721. For space applications, these coatings are used on parts subject to the flammability requirements of SE-R-0006 and SSP 30233.</w:t>
      </w:r>
    </w:p>
    <w:p w:rsidR="00EB486E" w:rsidRPr="00EB486E" w:rsidRDefault="00EB486E" w:rsidP="00EB486E">
      <w:pPr>
        <w:pStyle w:val="NormalWeb"/>
        <w:rPr>
          <w:sz w:val="22"/>
          <w:szCs w:val="22"/>
        </w:rPr>
      </w:pPr>
      <w:r w:rsidRPr="00EB486E">
        <w:rPr>
          <w:i/>
          <w:iCs/>
          <w:sz w:val="22"/>
          <w:szCs w:val="22"/>
        </w:rPr>
        <w:t>Flexible primer</w:t>
      </w:r>
      <w:r w:rsidRPr="00EB486E">
        <w:rPr>
          <w:sz w:val="22"/>
          <w:szCs w:val="22"/>
        </w:rPr>
        <w:t>—A primer that meets flexibility requirements such as those needed for adhesive bond primed fastener heads or on surfaces expected to contain fuel. The flexible coating is required because it provides a compatible, flexible substrate over bonded sheet rubber and rubber-type coatings as well as a flexible bridge between the fasteners, skin, and skin-to-skin joints on outer aircraft skins. This flexible bridge allows more topcoat flexibility around fasteners and decreases the chance of the topcoat cracking around the fasteners. The result is better corrosion resistance.</w:t>
      </w:r>
    </w:p>
    <w:p w:rsidR="00EB486E" w:rsidRPr="00EB486E" w:rsidRDefault="00EB486E" w:rsidP="00EB486E">
      <w:pPr>
        <w:pStyle w:val="NormalWeb"/>
        <w:rPr>
          <w:sz w:val="22"/>
          <w:szCs w:val="22"/>
        </w:rPr>
      </w:pPr>
      <w:r w:rsidRPr="00EB486E">
        <w:rPr>
          <w:i/>
          <w:iCs/>
          <w:sz w:val="22"/>
          <w:szCs w:val="22"/>
        </w:rPr>
        <w:t>Flight test coating</w:t>
      </w:r>
      <w:r w:rsidRPr="00EB486E">
        <w:rPr>
          <w:sz w:val="22"/>
          <w:szCs w:val="22"/>
        </w:rPr>
        <w:t>—A coating applied to aircraft other than missiles or single-use aircraft prior to flight testing to protect the aircraft from corrosion and to provide required marking during flight test evaluation.</w:t>
      </w:r>
    </w:p>
    <w:p w:rsidR="00EB486E" w:rsidRPr="00EB486E" w:rsidRDefault="00EB486E" w:rsidP="00EB486E">
      <w:pPr>
        <w:pStyle w:val="NormalWeb"/>
        <w:rPr>
          <w:sz w:val="22"/>
          <w:szCs w:val="22"/>
        </w:rPr>
      </w:pPr>
      <w:r w:rsidRPr="00EB486E">
        <w:rPr>
          <w:i/>
          <w:iCs/>
          <w:sz w:val="22"/>
          <w:szCs w:val="22"/>
        </w:rPr>
        <w:t>Fuel tank adhesive</w:t>
      </w:r>
      <w:r w:rsidRPr="00EB486E">
        <w:rPr>
          <w:sz w:val="22"/>
          <w:szCs w:val="22"/>
        </w:rPr>
        <w:t>—An adhesive used to bond components exposed to fuel and that must be compatible with fuel tank coatings.</w:t>
      </w:r>
    </w:p>
    <w:p w:rsidR="00EB486E" w:rsidRPr="00EB486E" w:rsidRDefault="00EB486E" w:rsidP="00EB486E">
      <w:pPr>
        <w:pStyle w:val="NormalWeb"/>
        <w:rPr>
          <w:sz w:val="22"/>
          <w:szCs w:val="22"/>
        </w:rPr>
      </w:pPr>
      <w:r w:rsidRPr="00EB486E">
        <w:rPr>
          <w:i/>
          <w:iCs/>
          <w:sz w:val="22"/>
          <w:szCs w:val="22"/>
        </w:rPr>
        <w:t>Fuel tank coating</w:t>
      </w:r>
      <w:r w:rsidRPr="00EB486E">
        <w:rPr>
          <w:sz w:val="22"/>
          <w:szCs w:val="22"/>
        </w:rPr>
        <w:t>—A coating applied to fuel tank components to inhibit corrosion and/or bacterial growth and to assure sealant adhesion in extreme environmental conditions.</w:t>
      </w:r>
    </w:p>
    <w:p w:rsidR="00EB486E" w:rsidRPr="00EB486E" w:rsidRDefault="00EB486E" w:rsidP="00EB486E">
      <w:pPr>
        <w:pStyle w:val="NormalWeb"/>
        <w:rPr>
          <w:sz w:val="22"/>
          <w:szCs w:val="22"/>
        </w:rPr>
      </w:pPr>
      <w:r w:rsidRPr="00EB486E">
        <w:rPr>
          <w:i/>
          <w:iCs/>
          <w:sz w:val="22"/>
          <w:szCs w:val="22"/>
        </w:rPr>
        <w:t>High temperature coating</w:t>
      </w:r>
      <w:r w:rsidRPr="00EB486E">
        <w:rPr>
          <w:sz w:val="22"/>
          <w:szCs w:val="22"/>
        </w:rPr>
        <w:t>—A coating designed to withstand temperatures of more than 350 °F.</w:t>
      </w:r>
    </w:p>
    <w:p w:rsidR="00EB486E" w:rsidRPr="00EB486E" w:rsidRDefault="00EB486E" w:rsidP="00EB486E">
      <w:pPr>
        <w:pStyle w:val="NormalWeb"/>
        <w:rPr>
          <w:sz w:val="22"/>
          <w:szCs w:val="22"/>
        </w:rPr>
      </w:pPr>
      <w:r w:rsidRPr="00EB486E">
        <w:rPr>
          <w:i/>
          <w:iCs/>
          <w:sz w:val="22"/>
          <w:szCs w:val="22"/>
        </w:rPr>
        <w:t>Insulation covering</w:t>
      </w:r>
      <w:r w:rsidRPr="00EB486E">
        <w:rPr>
          <w:sz w:val="22"/>
          <w:szCs w:val="22"/>
        </w:rPr>
        <w:t>—Material that is applied to foam insulation to protect the insulation from mechanical or environmental damage.</w:t>
      </w:r>
    </w:p>
    <w:p w:rsidR="00EB486E" w:rsidRPr="00EB486E" w:rsidRDefault="00EB486E" w:rsidP="00EB486E">
      <w:pPr>
        <w:pStyle w:val="NormalWeb"/>
        <w:rPr>
          <w:sz w:val="22"/>
          <w:szCs w:val="22"/>
        </w:rPr>
      </w:pPr>
      <w:r w:rsidRPr="00EB486E">
        <w:rPr>
          <w:i/>
          <w:iCs/>
          <w:sz w:val="22"/>
          <w:szCs w:val="22"/>
        </w:rPr>
        <w:t>Intermediate release coating</w:t>
      </w:r>
      <w:r w:rsidRPr="00EB486E">
        <w:rPr>
          <w:sz w:val="22"/>
          <w:szCs w:val="22"/>
        </w:rPr>
        <w:t>—A thin coating applied beneath topcoats to assist in removing the topcoat in depainting operations and generally to allow the use of less hazardous depainting methods.</w:t>
      </w:r>
    </w:p>
    <w:p w:rsidR="00EB486E" w:rsidRPr="00EB486E" w:rsidRDefault="00EB486E" w:rsidP="00EB486E">
      <w:pPr>
        <w:pStyle w:val="NormalWeb"/>
        <w:rPr>
          <w:sz w:val="22"/>
          <w:szCs w:val="22"/>
        </w:rPr>
      </w:pPr>
      <w:r w:rsidRPr="00EB486E">
        <w:rPr>
          <w:i/>
          <w:iCs/>
          <w:sz w:val="22"/>
          <w:szCs w:val="22"/>
        </w:rPr>
        <w:t>Lacquer</w:t>
      </w:r>
      <w:r w:rsidRPr="00EB486E">
        <w:rPr>
          <w:sz w:val="22"/>
          <w:szCs w:val="22"/>
        </w:rPr>
        <w:t>—A clear or pigmented coating formulated with a nitrocellulose or synthetic resin to dry by evaporation without a chemical reaction. Lacquers are resoluble in their original solvent.</w:t>
      </w:r>
    </w:p>
    <w:p w:rsidR="00EB486E" w:rsidRPr="00EB486E" w:rsidRDefault="00EB486E" w:rsidP="00EB486E">
      <w:pPr>
        <w:pStyle w:val="NormalWeb"/>
        <w:rPr>
          <w:sz w:val="22"/>
          <w:szCs w:val="22"/>
        </w:rPr>
      </w:pPr>
      <w:r w:rsidRPr="00EB486E">
        <w:rPr>
          <w:i/>
          <w:iCs/>
          <w:sz w:val="22"/>
          <w:szCs w:val="22"/>
        </w:rPr>
        <w:t>Metalized epoxy coating</w:t>
      </w:r>
      <w:r w:rsidRPr="00EB486E">
        <w:rPr>
          <w:sz w:val="22"/>
          <w:szCs w:val="22"/>
        </w:rPr>
        <w:t>—A coating that contains relatively large quantities of metallic pigmentation for appearance and/or added protection.</w:t>
      </w:r>
    </w:p>
    <w:p w:rsidR="00EB486E" w:rsidRPr="00EB486E" w:rsidRDefault="00EB486E" w:rsidP="00EB486E">
      <w:pPr>
        <w:pStyle w:val="NormalWeb"/>
        <w:rPr>
          <w:sz w:val="22"/>
          <w:szCs w:val="22"/>
        </w:rPr>
      </w:pPr>
      <w:r w:rsidRPr="00EB486E">
        <w:rPr>
          <w:i/>
          <w:iCs/>
          <w:sz w:val="22"/>
          <w:szCs w:val="22"/>
        </w:rPr>
        <w:t>Mold release</w:t>
      </w:r>
      <w:r w:rsidRPr="00EB486E">
        <w:rPr>
          <w:sz w:val="22"/>
          <w:szCs w:val="22"/>
        </w:rPr>
        <w:t>—A coating applied to a mold surface to prevent the molded piece from sticking to the mold as it is removed.</w:t>
      </w:r>
    </w:p>
    <w:p w:rsidR="00EB486E" w:rsidRPr="00EB486E" w:rsidRDefault="00EB486E" w:rsidP="00EB486E">
      <w:pPr>
        <w:pStyle w:val="NormalWeb"/>
        <w:rPr>
          <w:sz w:val="22"/>
          <w:szCs w:val="22"/>
        </w:rPr>
      </w:pPr>
      <w:r w:rsidRPr="00EB486E">
        <w:rPr>
          <w:i/>
          <w:iCs/>
          <w:sz w:val="22"/>
          <w:szCs w:val="22"/>
        </w:rPr>
        <w:t>Nonstructural adhesive</w:t>
      </w:r>
      <w:r w:rsidRPr="00EB486E">
        <w:rPr>
          <w:sz w:val="22"/>
          <w:szCs w:val="22"/>
        </w:rPr>
        <w:t>—An adhesive that bonds nonload bearing aerospace components in noncritical applications and is not covered in any other specialty adhesive categories.</w:t>
      </w:r>
    </w:p>
    <w:p w:rsidR="00EB486E" w:rsidRPr="00EB486E" w:rsidRDefault="00EB486E" w:rsidP="00EB486E">
      <w:pPr>
        <w:pStyle w:val="NormalWeb"/>
        <w:rPr>
          <w:sz w:val="22"/>
          <w:szCs w:val="22"/>
        </w:rPr>
      </w:pPr>
      <w:r w:rsidRPr="00EB486E">
        <w:rPr>
          <w:i/>
          <w:iCs/>
          <w:sz w:val="22"/>
          <w:szCs w:val="22"/>
        </w:rPr>
        <w:t>Optical anti-reflection coating</w:t>
      </w:r>
      <w:r w:rsidRPr="00EB486E">
        <w:rPr>
          <w:sz w:val="22"/>
          <w:szCs w:val="22"/>
        </w:rPr>
        <w:t>—A coating with a low reflectance in the infrared and visible wavelength ranges, which is used for anti-reflection on or near optical and laser hardware.</w:t>
      </w:r>
    </w:p>
    <w:p w:rsidR="00EB486E" w:rsidRPr="00EB486E" w:rsidRDefault="00EB486E" w:rsidP="00EB486E">
      <w:pPr>
        <w:pStyle w:val="NormalWeb"/>
        <w:rPr>
          <w:sz w:val="22"/>
          <w:szCs w:val="22"/>
        </w:rPr>
      </w:pPr>
      <w:r w:rsidRPr="00EB486E">
        <w:rPr>
          <w:i/>
          <w:iCs/>
          <w:sz w:val="22"/>
          <w:szCs w:val="22"/>
        </w:rPr>
        <w:t>Part marking coating</w:t>
      </w:r>
      <w:r w:rsidRPr="00EB486E">
        <w:rPr>
          <w:sz w:val="22"/>
          <w:szCs w:val="22"/>
        </w:rPr>
        <w:t>—Coatings or inks used to make identifying markings on materials, components, and/or assemblies. These markings may be either permanent or temporary.</w:t>
      </w:r>
    </w:p>
    <w:p w:rsidR="00EB486E" w:rsidRPr="00EB486E" w:rsidRDefault="00EB486E" w:rsidP="00EB486E">
      <w:pPr>
        <w:pStyle w:val="NormalWeb"/>
        <w:rPr>
          <w:sz w:val="22"/>
          <w:szCs w:val="22"/>
        </w:rPr>
      </w:pPr>
      <w:r w:rsidRPr="00EB486E">
        <w:rPr>
          <w:i/>
          <w:iCs/>
          <w:sz w:val="22"/>
          <w:szCs w:val="22"/>
        </w:rPr>
        <w:lastRenderedPageBreak/>
        <w:t>Pretreatment coating</w:t>
      </w:r>
      <w:r w:rsidRPr="00EB486E">
        <w:rPr>
          <w:sz w:val="22"/>
          <w:szCs w:val="22"/>
        </w:rPr>
        <w:t>—An organic coating that contains at least 0.5 percent acids by weight and is applied directly to metal or composite surfaces to provide surface etching, corrosion resistance, adhesion, and ease of stripping.</w:t>
      </w:r>
    </w:p>
    <w:p w:rsidR="00EB486E" w:rsidRPr="00EB486E" w:rsidRDefault="00EB486E" w:rsidP="00EB486E">
      <w:pPr>
        <w:pStyle w:val="NormalWeb"/>
        <w:rPr>
          <w:sz w:val="22"/>
          <w:szCs w:val="22"/>
        </w:rPr>
      </w:pPr>
      <w:r w:rsidRPr="00EB486E">
        <w:rPr>
          <w:i/>
          <w:iCs/>
          <w:sz w:val="22"/>
          <w:szCs w:val="22"/>
        </w:rPr>
        <w:t>Rain erosion-resistant coating—</w:t>
      </w:r>
      <w:r w:rsidRPr="00EB486E">
        <w:rPr>
          <w:sz w:val="22"/>
          <w:szCs w:val="22"/>
        </w:rPr>
        <w:t>A coating or coating system used to protect the leading edges of parts such as flaps, stabilizers, radomes, engine inlet nacelles, etc. against erosion caused by rain impact during flight.</w:t>
      </w:r>
    </w:p>
    <w:p w:rsidR="00EB486E" w:rsidRPr="00EB486E" w:rsidRDefault="00EB486E" w:rsidP="00EB486E">
      <w:pPr>
        <w:pStyle w:val="NormalWeb"/>
        <w:rPr>
          <w:sz w:val="22"/>
          <w:szCs w:val="22"/>
        </w:rPr>
      </w:pPr>
      <w:r w:rsidRPr="00EB486E">
        <w:rPr>
          <w:i/>
          <w:iCs/>
          <w:sz w:val="22"/>
          <w:szCs w:val="22"/>
        </w:rPr>
        <w:t>Rocket motor bonding adhesive—</w:t>
      </w:r>
      <w:r w:rsidRPr="00EB486E">
        <w:rPr>
          <w:sz w:val="22"/>
          <w:szCs w:val="22"/>
        </w:rPr>
        <w:t>An adhesive used in rocket motor bonding applications.</w:t>
      </w:r>
    </w:p>
    <w:p w:rsidR="00EB486E" w:rsidRPr="00EB486E" w:rsidRDefault="00EB486E" w:rsidP="00EB486E">
      <w:pPr>
        <w:pStyle w:val="NormalWeb"/>
        <w:rPr>
          <w:sz w:val="22"/>
          <w:szCs w:val="22"/>
        </w:rPr>
      </w:pPr>
      <w:r w:rsidRPr="00EB486E">
        <w:rPr>
          <w:i/>
          <w:iCs/>
          <w:sz w:val="22"/>
          <w:szCs w:val="22"/>
        </w:rPr>
        <w:t>Rocket motor nozzle coating—</w:t>
      </w:r>
      <w:r w:rsidRPr="00EB486E">
        <w:rPr>
          <w:sz w:val="22"/>
          <w:szCs w:val="22"/>
        </w:rPr>
        <w:t>A catalyzed epoxy coating system used in elevated temperature applications on rocket motor nozzles.</w:t>
      </w:r>
    </w:p>
    <w:p w:rsidR="00EB486E" w:rsidRPr="00EB486E" w:rsidRDefault="00EB486E" w:rsidP="00EB486E">
      <w:pPr>
        <w:pStyle w:val="NormalWeb"/>
        <w:rPr>
          <w:sz w:val="22"/>
          <w:szCs w:val="22"/>
        </w:rPr>
      </w:pPr>
      <w:r w:rsidRPr="00EB486E">
        <w:rPr>
          <w:i/>
          <w:iCs/>
          <w:sz w:val="22"/>
          <w:szCs w:val="22"/>
        </w:rPr>
        <w:t>Rubber-based adhesive—</w:t>
      </w:r>
      <w:r w:rsidRPr="00EB486E">
        <w:rPr>
          <w:sz w:val="22"/>
          <w:szCs w:val="22"/>
        </w:rPr>
        <w:t>Quick setting contact cements that provide a strong, yet flexible, bond between two mating surfaces that may be of dissimilar materials.</w:t>
      </w:r>
    </w:p>
    <w:p w:rsidR="00EB486E" w:rsidRPr="00EB486E" w:rsidRDefault="00EB486E" w:rsidP="00EB486E">
      <w:pPr>
        <w:pStyle w:val="NormalWeb"/>
        <w:rPr>
          <w:sz w:val="22"/>
          <w:szCs w:val="22"/>
        </w:rPr>
      </w:pPr>
      <w:r w:rsidRPr="00EB486E">
        <w:rPr>
          <w:i/>
          <w:iCs/>
          <w:sz w:val="22"/>
          <w:szCs w:val="22"/>
        </w:rPr>
        <w:t>Scale inhibitor—</w:t>
      </w:r>
      <w:r w:rsidRPr="00EB486E">
        <w:rPr>
          <w:sz w:val="22"/>
          <w:szCs w:val="22"/>
        </w:rPr>
        <w:t>A coating that is applied to the surface of a part prior to thermal processing to inhibit the formation of scale.</w:t>
      </w:r>
    </w:p>
    <w:p w:rsidR="00EB486E" w:rsidRPr="00EB486E" w:rsidRDefault="00EB486E" w:rsidP="00EB486E">
      <w:pPr>
        <w:pStyle w:val="NormalWeb"/>
        <w:rPr>
          <w:sz w:val="22"/>
          <w:szCs w:val="22"/>
        </w:rPr>
      </w:pPr>
      <w:r w:rsidRPr="00EB486E">
        <w:rPr>
          <w:i/>
          <w:iCs/>
          <w:sz w:val="22"/>
          <w:szCs w:val="22"/>
        </w:rPr>
        <w:t>Screen print ink—</w:t>
      </w:r>
      <w:r w:rsidRPr="00EB486E">
        <w:rPr>
          <w:sz w:val="22"/>
          <w:szCs w:val="22"/>
        </w:rPr>
        <w:t>Inks used in screen printing processes during fabrication of decorative laminates and decals.</w:t>
      </w:r>
    </w:p>
    <w:p w:rsidR="00EB486E" w:rsidRPr="00EB486E" w:rsidRDefault="00EB486E" w:rsidP="00EB486E">
      <w:pPr>
        <w:pStyle w:val="NormalWeb"/>
        <w:rPr>
          <w:sz w:val="22"/>
          <w:szCs w:val="22"/>
        </w:rPr>
      </w:pPr>
      <w:r w:rsidRPr="00EB486E">
        <w:rPr>
          <w:i/>
          <w:iCs/>
          <w:sz w:val="22"/>
          <w:szCs w:val="22"/>
        </w:rPr>
        <w:t>Seal coat maskant—</w:t>
      </w:r>
      <w:r w:rsidRPr="00EB486E">
        <w:rPr>
          <w:sz w:val="22"/>
          <w:szCs w:val="22"/>
        </w:rPr>
        <w:t>An overcoat applied over a maskant to improve abrasion and chemical resistance during production operations.</w:t>
      </w:r>
    </w:p>
    <w:p w:rsidR="00EB486E" w:rsidRPr="00EB486E" w:rsidRDefault="00EB486E" w:rsidP="00EB486E">
      <w:pPr>
        <w:pStyle w:val="NormalWeb"/>
        <w:rPr>
          <w:sz w:val="22"/>
          <w:szCs w:val="22"/>
        </w:rPr>
      </w:pPr>
      <w:r w:rsidRPr="00EB486E">
        <w:rPr>
          <w:i/>
          <w:iCs/>
          <w:sz w:val="22"/>
          <w:szCs w:val="22"/>
        </w:rPr>
        <w:t>Sealant—</w:t>
      </w:r>
      <w:r w:rsidRPr="00EB486E">
        <w:rPr>
          <w:sz w:val="22"/>
          <w:szCs w:val="22"/>
        </w:rPr>
        <w:t>A material used to prevent the intrusion of water, fuel, air, or other liquids or solids from certain areas of aerospace vehicles or components. There are two categories of sealants: extrudable/rollable/brushable sealants and sprayable sealants.</w:t>
      </w:r>
    </w:p>
    <w:p w:rsidR="00EB486E" w:rsidRPr="00EB486E" w:rsidRDefault="00EB486E" w:rsidP="00EB486E">
      <w:pPr>
        <w:pStyle w:val="NormalWeb"/>
        <w:rPr>
          <w:sz w:val="22"/>
          <w:szCs w:val="22"/>
        </w:rPr>
      </w:pPr>
      <w:r w:rsidRPr="00EB486E">
        <w:rPr>
          <w:i/>
          <w:iCs/>
          <w:sz w:val="22"/>
          <w:szCs w:val="22"/>
        </w:rPr>
        <w:t>Silicone insulation material—</w:t>
      </w:r>
      <w:r w:rsidRPr="00EB486E">
        <w:rPr>
          <w:sz w:val="22"/>
          <w:szCs w:val="22"/>
        </w:rPr>
        <w:t>Insulating material applied to exterior metal surfaces for protection from high temperatures caused by atmospheric friction or engine exhaust. These materials differ from ablative coatings in that they are not “sacrificial.”</w:t>
      </w:r>
    </w:p>
    <w:p w:rsidR="00EB486E" w:rsidRPr="00EB486E" w:rsidRDefault="00EB486E" w:rsidP="00EB486E">
      <w:pPr>
        <w:pStyle w:val="NormalWeb"/>
        <w:rPr>
          <w:sz w:val="22"/>
          <w:szCs w:val="22"/>
        </w:rPr>
      </w:pPr>
      <w:r w:rsidRPr="00EB486E">
        <w:rPr>
          <w:i/>
          <w:iCs/>
          <w:sz w:val="22"/>
          <w:szCs w:val="22"/>
        </w:rPr>
        <w:t>Solid film lubricant—</w:t>
      </w:r>
      <w:r w:rsidRPr="00EB486E">
        <w:rPr>
          <w:sz w:val="22"/>
          <w:szCs w:val="22"/>
        </w:rPr>
        <w:t>A very thin coating consisting of a binder system containing as its chief pigment material one or more of the following: molybdenum, graphite, polytetrafluoroethylene (PTFE), or other solids that act as a dry lubricant between faying surfaces.</w:t>
      </w:r>
    </w:p>
    <w:p w:rsidR="00EB486E" w:rsidRPr="00EB486E" w:rsidRDefault="00EB486E" w:rsidP="00EB486E">
      <w:pPr>
        <w:pStyle w:val="NormalWeb"/>
        <w:rPr>
          <w:sz w:val="22"/>
          <w:szCs w:val="22"/>
        </w:rPr>
      </w:pPr>
      <w:r w:rsidRPr="00EB486E">
        <w:rPr>
          <w:i/>
          <w:iCs/>
          <w:sz w:val="22"/>
          <w:szCs w:val="22"/>
        </w:rPr>
        <w:t>Specialized function coatings—</w:t>
      </w:r>
      <w:r w:rsidRPr="00EB486E">
        <w:rPr>
          <w:sz w:val="22"/>
          <w:szCs w:val="22"/>
        </w:rPr>
        <w:t>Coatings that fulfill extremely specific engineering requirements that are limited in application and are characterized by low volume usage. This category excludes coatings covered in other Specialty Coating categories.</w:t>
      </w:r>
    </w:p>
    <w:p w:rsidR="00EB486E" w:rsidRPr="00EB486E" w:rsidRDefault="00EB486E" w:rsidP="00EB486E">
      <w:pPr>
        <w:pStyle w:val="NormalWeb"/>
        <w:rPr>
          <w:sz w:val="22"/>
          <w:szCs w:val="22"/>
        </w:rPr>
      </w:pPr>
      <w:r w:rsidRPr="00EB486E">
        <w:rPr>
          <w:i/>
          <w:iCs/>
          <w:sz w:val="22"/>
          <w:szCs w:val="22"/>
        </w:rPr>
        <w:t>Structural autoclavable adhesive—</w:t>
      </w:r>
      <w:r w:rsidRPr="00EB486E">
        <w:rPr>
          <w:sz w:val="22"/>
          <w:szCs w:val="22"/>
        </w:rPr>
        <w:t>An adhesive used to bond load-carrying aerospace components that is cured by heat and pressure in an autoclave.</w:t>
      </w:r>
    </w:p>
    <w:p w:rsidR="00EB486E" w:rsidRPr="00EB486E" w:rsidRDefault="00EB486E" w:rsidP="00EB486E">
      <w:pPr>
        <w:pStyle w:val="NormalWeb"/>
        <w:rPr>
          <w:sz w:val="22"/>
          <w:szCs w:val="22"/>
        </w:rPr>
      </w:pPr>
      <w:r w:rsidRPr="00EB486E">
        <w:rPr>
          <w:i/>
          <w:iCs/>
          <w:sz w:val="22"/>
          <w:szCs w:val="22"/>
        </w:rPr>
        <w:t>Structural nonautoclavable adhesive—</w:t>
      </w:r>
      <w:r w:rsidRPr="00EB486E">
        <w:rPr>
          <w:sz w:val="22"/>
          <w:szCs w:val="22"/>
        </w:rPr>
        <w:t>An adhesive cured under ambient conditions that is used to bond load-carrying aerospace components or for other critical functions, such as nonstructural bonding in the proximity of engines.</w:t>
      </w:r>
    </w:p>
    <w:p w:rsidR="00EB486E" w:rsidRPr="00EB486E" w:rsidRDefault="00EB486E" w:rsidP="00EB486E">
      <w:pPr>
        <w:pStyle w:val="NormalWeb"/>
        <w:rPr>
          <w:sz w:val="22"/>
          <w:szCs w:val="22"/>
        </w:rPr>
      </w:pPr>
      <w:r w:rsidRPr="00EB486E">
        <w:rPr>
          <w:i/>
          <w:iCs/>
          <w:sz w:val="22"/>
          <w:szCs w:val="22"/>
        </w:rPr>
        <w:lastRenderedPageBreak/>
        <w:t>Temporary protective coating—</w:t>
      </w:r>
      <w:r w:rsidRPr="00EB486E">
        <w:rPr>
          <w:sz w:val="22"/>
          <w:szCs w:val="22"/>
        </w:rPr>
        <w:t>A coating applied to provide scratch or corrosion protection during manufacturing, storage, or transportation. Two types include peelable protective coatings and alkaline removable coatings. These materials are not intended to protect against strong acid or alkaline solutions. Coatings that provide this type of protection from chemical processing are not included in this category.</w:t>
      </w:r>
    </w:p>
    <w:p w:rsidR="00EB486E" w:rsidRPr="00EB486E" w:rsidRDefault="00EB486E" w:rsidP="00EB486E">
      <w:pPr>
        <w:pStyle w:val="NormalWeb"/>
        <w:rPr>
          <w:sz w:val="22"/>
          <w:szCs w:val="22"/>
        </w:rPr>
      </w:pPr>
      <w:r w:rsidRPr="00EB486E">
        <w:rPr>
          <w:i/>
          <w:iCs/>
          <w:sz w:val="22"/>
          <w:szCs w:val="22"/>
        </w:rPr>
        <w:t>Thermal control coating—</w:t>
      </w:r>
      <w:r w:rsidRPr="00EB486E">
        <w:rPr>
          <w:sz w:val="22"/>
          <w:szCs w:val="22"/>
        </w:rPr>
        <w:t>Coatings formulated with specific thermal conductive or radiative properties to permit temperature control of the substrate.</w:t>
      </w:r>
    </w:p>
    <w:p w:rsidR="00EB486E" w:rsidRPr="00EB486E" w:rsidRDefault="00EB486E" w:rsidP="00EB486E">
      <w:pPr>
        <w:pStyle w:val="NormalWeb"/>
        <w:rPr>
          <w:sz w:val="22"/>
          <w:szCs w:val="22"/>
        </w:rPr>
      </w:pPr>
      <w:r w:rsidRPr="00EB486E">
        <w:rPr>
          <w:i/>
          <w:iCs/>
          <w:sz w:val="22"/>
          <w:szCs w:val="22"/>
        </w:rPr>
        <w:t>Touch-up and Repair Coating—</w:t>
      </w:r>
      <w:r w:rsidRPr="00EB486E">
        <w:rPr>
          <w:sz w:val="22"/>
          <w:szCs w:val="22"/>
        </w:rPr>
        <w:t>A coating used to cover minor coating imperfections appearing after the main coating operation.</w:t>
      </w:r>
    </w:p>
    <w:p w:rsidR="00EB486E" w:rsidRPr="00EB486E" w:rsidRDefault="00EB486E" w:rsidP="00EB486E">
      <w:pPr>
        <w:pStyle w:val="NormalWeb"/>
        <w:rPr>
          <w:sz w:val="22"/>
          <w:szCs w:val="22"/>
        </w:rPr>
      </w:pPr>
      <w:r w:rsidRPr="00EB486E">
        <w:rPr>
          <w:i/>
          <w:iCs/>
          <w:sz w:val="22"/>
          <w:szCs w:val="22"/>
        </w:rPr>
        <w:t>Wet fastener installation coating—</w:t>
      </w:r>
      <w:r w:rsidRPr="00EB486E">
        <w:rPr>
          <w:sz w:val="22"/>
          <w:szCs w:val="22"/>
        </w:rPr>
        <w:t>A primer or sealant applied by dipping, brushing, or daubing to fasteners that are installed before the coating is cured.</w:t>
      </w:r>
    </w:p>
    <w:p w:rsidR="00EB486E" w:rsidRPr="00EB486E" w:rsidRDefault="00EB486E" w:rsidP="00EB486E">
      <w:pPr>
        <w:pStyle w:val="NormalWeb"/>
        <w:rPr>
          <w:sz w:val="22"/>
          <w:szCs w:val="22"/>
        </w:rPr>
      </w:pPr>
      <w:r w:rsidRPr="00EB486E">
        <w:rPr>
          <w:i/>
          <w:iCs/>
          <w:sz w:val="22"/>
          <w:szCs w:val="22"/>
        </w:rPr>
        <w:t>Wing coating—</w:t>
      </w:r>
      <w:r w:rsidRPr="00EB486E">
        <w:rPr>
          <w:sz w:val="22"/>
          <w:szCs w:val="22"/>
        </w:rPr>
        <w:t>A corrosion-resistant topcoat that is resilient enough to withstand the flexing of the wings.</w:t>
      </w:r>
    </w:p>
    <w:p w:rsidR="00BD6F2F" w:rsidRPr="00EB486E" w:rsidRDefault="00EB486E" w:rsidP="00EB486E">
      <w:pPr>
        <w:rPr>
          <w:szCs w:val="22"/>
        </w:rPr>
      </w:pPr>
      <w:r w:rsidRPr="00EB486E">
        <w:rPr>
          <w:szCs w:val="22"/>
        </w:rPr>
        <w:t>[63 FR 15026, Mar. 27, 1998, as amended at 80 FR 76191, Dec. 7, 2015]</w:t>
      </w:r>
    </w:p>
    <w:p w:rsidR="00BD6F2F" w:rsidRDefault="00BD6F2F" w:rsidP="00980694">
      <w:pPr>
        <w:rPr>
          <w:sz w:val="20"/>
        </w:rPr>
      </w:pPr>
    </w:p>
    <w:p w:rsidR="00EB486E" w:rsidRDefault="00EB486E" w:rsidP="00980694">
      <w:pPr>
        <w:rPr>
          <w:sz w:val="20"/>
        </w:rPr>
      </w:pPr>
    </w:p>
    <w:p w:rsidR="00A62117" w:rsidRDefault="007841E9" w:rsidP="00A62117">
      <w:hyperlink w:anchor="TOC" w:history="1">
        <w:r w:rsidR="00A62117" w:rsidRPr="00BD6F2F">
          <w:rPr>
            <w:rStyle w:val="Hyperlink"/>
          </w:rPr>
          <w:t>TABLE OF CONTENTS</w:t>
        </w:r>
      </w:hyperlink>
    </w:p>
    <w:p w:rsidR="00A62117" w:rsidRDefault="00A62117" w:rsidP="00980694">
      <w:pPr>
        <w:rPr>
          <w:sz w:val="20"/>
        </w:rPr>
      </w:pPr>
    </w:p>
    <w:p w:rsidR="00EB486E" w:rsidRDefault="00EB486E" w:rsidP="00980694">
      <w:pPr>
        <w:rPr>
          <w:sz w:val="20"/>
        </w:rPr>
      </w:pPr>
    </w:p>
    <w:p w:rsidR="00FD7CCB" w:rsidRDefault="00FD7CCB" w:rsidP="00980694">
      <w:pPr>
        <w:rPr>
          <w:sz w:val="20"/>
        </w:rPr>
        <w:sectPr w:rsidR="00FD7CCB" w:rsidSect="00A62117">
          <w:headerReference w:type="default" r:id="rId42"/>
          <w:footerReference w:type="default" r:id="rId43"/>
          <w:pgSz w:w="12240" w:h="15840" w:code="1"/>
          <w:pgMar w:top="1440" w:right="1080" w:bottom="1440" w:left="1080" w:header="720" w:footer="576" w:gutter="0"/>
          <w:paperSrc w:first="264" w:other="264"/>
          <w:pgNumType w:start="1"/>
          <w:cols w:space="720"/>
          <w:docGrid w:linePitch="299"/>
        </w:sectPr>
      </w:pPr>
    </w:p>
    <w:p w:rsidR="00EB486E" w:rsidRDefault="00EB486E" w:rsidP="00980694">
      <w:pPr>
        <w:rPr>
          <w:sz w:val="20"/>
        </w:rPr>
      </w:pPr>
    </w:p>
    <w:p w:rsidR="00FD7CCB" w:rsidRPr="00FD7CCB" w:rsidRDefault="00FD7CCB" w:rsidP="00FD7CCB">
      <w:pPr>
        <w:pStyle w:val="Heading3"/>
        <w:spacing w:before="0"/>
        <w:rPr>
          <w:rFonts w:ascii="Times New Roman" w:hAnsi="Times New Roman" w:cs="Times New Roman"/>
          <w:caps/>
          <w:sz w:val="22"/>
          <w:szCs w:val="22"/>
        </w:rPr>
      </w:pPr>
      <w:bookmarkStart w:id="50" w:name="ZZZZ"/>
      <w:r w:rsidRPr="00FD7CCB">
        <w:rPr>
          <w:rFonts w:ascii="Times New Roman" w:hAnsi="Times New Roman" w:cs="Times New Roman"/>
          <w:caps/>
          <w:sz w:val="22"/>
          <w:szCs w:val="22"/>
        </w:rPr>
        <w:t>Electronic</w:t>
      </w:r>
      <w:bookmarkEnd w:id="50"/>
      <w:r w:rsidRPr="00FD7CCB">
        <w:rPr>
          <w:rFonts w:ascii="Times New Roman" w:hAnsi="Times New Roman" w:cs="Times New Roman"/>
          <w:caps/>
          <w:sz w:val="22"/>
          <w:szCs w:val="22"/>
        </w:rPr>
        <w:t xml:space="preserve">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FD7CCB" w:rsidRPr="00FD7CCB" w:rsidTr="00FD7CCB">
        <w:trPr>
          <w:tblCellSpacing w:w="15" w:type="dxa"/>
          <w:jc w:val="center"/>
        </w:trPr>
        <w:tc>
          <w:tcPr>
            <w:tcW w:w="0" w:type="auto"/>
            <w:hideMark/>
          </w:tcPr>
          <w:p w:rsidR="00FD7CCB" w:rsidRPr="00FD7CCB" w:rsidRDefault="00FD7CCB" w:rsidP="00FD7CCB">
            <w:pPr>
              <w:pStyle w:val="updated"/>
              <w:jc w:val="left"/>
              <w:rPr>
                <w:rFonts w:ascii="Times New Roman" w:hAnsi="Times New Roman" w:cs="Times New Roman"/>
                <w:sz w:val="22"/>
                <w:szCs w:val="22"/>
              </w:rPr>
            </w:pPr>
            <w:r w:rsidRPr="00FD7CCB">
              <w:rPr>
                <w:rFonts w:ascii="Times New Roman" w:hAnsi="Times New Roman" w:cs="Times New Roman"/>
                <w:sz w:val="22"/>
                <w:szCs w:val="22"/>
              </w:rPr>
              <w:t>e-CFR data is current as of May 19, 2017</w:t>
            </w:r>
          </w:p>
        </w:tc>
      </w:tr>
    </w:tbl>
    <w:p w:rsidR="00FD7CCB" w:rsidRPr="00FD7CCB" w:rsidRDefault="00FD7CCB" w:rsidP="00FD7CCB">
      <w:pPr>
        <w:rPr>
          <w:vanish/>
          <w:szCs w:val="22"/>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6023"/>
      </w:tblGrid>
      <w:tr w:rsidR="00FD7CCB" w:rsidRPr="00FD7CCB" w:rsidTr="00FD7CCB">
        <w:trPr>
          <w:tblCellSpacing w:w="15" w:type="dxa"/>
          <w:jc w:val="center"/>
        </w:trPr>
        <w:tc>
          <w:tcPr>
            <w:tcW w:w="0" w:type="auto"/>
            <w:hideMark/>
          </w:tcPr>
          <w:p w:rsidR="00FD7CCB" w:rsidRPr="00FD7CCB" w:rsidRDefault="00FD7CCB" w:rsidP="00FD7CCB">
            <w:pPr>
              <w:pStyle w:val="fp"/>
              <w:rPr>
                <w:sz w:val="22"/>
                <w:szCs w:val="22"/>
              </w:rPr>
            </w:pPr>
            <w:r w:rsidRPr="00C25BD2">
              <w:rPr>
                <w:sz w:val="22"/>
                <w:szCs w:val="22"/>
              </w:rPr>
              <w:t>Title 40</w:t>
            </w:r>
            <w:r w:rsidRPr="00FD7CCB">
              <w:rPr>
                <w:sz w:val="22"/>
                <w:szCs w:val="22"/>
              </w:rPr>
              <w:t xml:space="preserve"> → </w:t>
            </w:r>
            <w:r w:rsidRPr="00C25BD2">
              <w:rPr>
                <w:sz w:val="22"/>
                <w:szCs w:val="22"/>
              </w:rPr>
              <w:t>Chapter I</w:t>
            </w:r>
            <w:r w:rsidRPr="00FD7CCB">
              <w:rPr>
                <w:sz w:val="22"/>
                <w:szCs w:val="22"/>
              </w:rPr>
              <w:t xml:space="preserve"> → </w:t>
            </w:r>
            <w:r w:rsidRPr="00C25BD2">
              <w:rPr>
                <w:sz w:val="22"/>
                <w:szCs w:val="22"/>
              </w:rPr>
              <w:t>Subchapter C</w:t>
            </w:r>
            <w:r w:rsidRPr="00FD7CCB">
              <w:rPr>
                <w:sz w:val="22"/>
                <w:szCs w:val="22"/>
              </w:rPr>
              <w:t xml:space="preserve"> → </w:t>
            </w:r>
            <w:r w:rsidRPr="00C25BD2">
              <w:rPr>
                <w:sz w:val="22"/>
                <w:szCs w:val="22"/>
              </w:rPr>
              <w:t>Part 63</w:t>
            </w:r>
            <w:r w:rsidRPr="00FD7CCB">
              <w:rPr>
                <w:sz w:val="22"/>
                <w:szCs w:val="22"/>
              </w:rPr>
              <w:t xml:space="preserve"> → Subpart ZZZZ</w:t>
            </w:r>
          </w:p>
          <w:p w:rsidR="00FD7CCB" w:rsidRPr="00FD7CCB" w:rsidRDefault="007841E9" w:rsidP="00FD7CCB">
            <w:pPr>
              <w:rPr>
                <w:szCs w:val="22"/>
              </w:rPr>
            </w:pPr>
            <w:r>
              <w:rPr>
                <w:szCs w:val="22"/>
              </w:rPr>
              <w:pict>
                <v:rect id="_x0000_i1033" style="width:0;height:1.5pt" o:hrstd="t" o:hrnoshade="t" o:hr="t" fillcolor="black" stroked="f"/>
              </w:pict>
            </w:r>
          </w:p>
        </w:tc>
      </w:tr>
    </w:tbl>
    <w:p w:rsidR="00FD7CCB" w:rsidRPr="00FD7CCB" w:rsidRDefault="00FD7CCB" w:rsidP="00FD7CCB">
      <w:pPr>
        <w:pStyle w:val="fp"/>
        <w:rPr>
          <w:sz w:val="22"/>
          <w:szCs w:val="22"/>
        </w:rPr>
      </w:pPr>
      <w:r w:rsidRPr="00FD7CCB">
        <w:rPr>
          <w:sz w:val="22"/>
          <w:szCs w:val="22"/>
        </w:rPr>
        <w:t xml:space="preserve">Title 40: Protection of Environment </w:t>
      </w:r>
      <w:r w:rsidRPr="00FD7CCB">
        <w:rPr>
          <w:sz w:val="22"/>
          <w:szCs w:val="22"/>
        </w:rPr>
        <w:br/>
      </w:r>
      <w:r w:rsidRPr="00C25BD2">
        <w:rPr>
          <w:sz w:val="22"/>
          <w:szCs w:val="22"/>
        </w:rPr>
        <w:t>PART 63—NATIONAL EMISSION STANDARDS FOR HAZARDOUS AIR POLLUTANTS FOR SOURCE CATEGORIES (CONTINUED)</w:t>
      </w:r>
      <w:r w:rsidRPr="00FD7CCB">
        <w:rPr>
          <w:sz w:val="22"/>
          <w:szCs w:val="22"/>
        </w:rPr>
        <w:t xml:space="preserve"> </w:t>
      </w:r>
    </w:p>
    <w:p w:rsidR="00FD7CCB" w:rsidRPr="00FD7CCB" w:rsidRDefault="007841E9" w:rsidP="00FD7CCB">
      <w:pPr>
        <w:rPr>
          <w:szCs w:val="22"/>
        </w:rPr>
      </w:pPr>
      <w:r>
        <w:rPr>
          <w:szCs w:val="22"/>
        </w:rPr>
        <w:pict>
          <v:rect id="_x0000_i1034" style="width:0;height:1.5pt" o:hrstd="t" o:hr="t" fillcolor="#a0a0a0" stroked="f"/>
        </w:pict>
      </w:r>
    </w:p>
    <w:p w:rsidR="00FD7CCB" w:rsidRPr="00FD7CCB" w:rsidRDefault="00FD7CCB" w:rsidP="00FD7CCB">
      <w:pPr>
        <w:pStyle w:val="Heading2"/>
        <w:rPr>
          <w:rFonts w:ascii="Times New Roman" w:hAnsi="Times New Roman" w:cs="Times New Roman"/>
          <w:sz w:val="22"/>
          <w:szCs w:val="22"/>
        </w:rPr>
      </w:pPr>
      <w:r w:rsidRPr="00FD7CCB">
        <w:rPr>
          <w:rFonts w:ascii="Times New Roman" w:hAnsi="Times New Roman" w:cs="Times New Roman"/>
          <w:sz w:val="22"/>
          <w:szCs w:val="22"/>
        </w:rPr>
        <w:t>Subpart ZZZZ—National Emissions Standards for Hazardous Air Pollutants for Stationary Reciprocating Internal Combustion Engines</w:t>
      </w:r>
    </w:p>
    <w:p w:rsidR="00FD7CCB" w:rsidRPr="00FD7CCB" w:rsidRDefault="007841E9" w:rsidP="00FD7CCB">
      <w:pPr>
        <w:rPr>
          <w:szCs w:val="22"/>
        </w:rPr>
      </w:pPr>
      <w:r>
        <w:rPr>
          <w:szCs w:val="22"/>
        </w:rPr>
        <w:pict>
          <v:rect id="_x0000_i1035" style="width:0;height:1.5pt" o:hrstd="t" o:hr="t" fillcolor="#a0a0a0" stroked="f"/>
        </w:pict>
      </w:r>
    </w:p>
    <w:p w:rsidR="00FD7CCB" w:rsidRPr="00FD7CCB" w:rsidRDefault="00FD7CCB" w:rsidP="00FD7CCB">
      <w:pPr>
        <w:rPr>
          <w:szCs w:val="22"/>
        </w:rPr>
      </w:pPr>
      <w:r w:rsidRPr="00FD7CCB">
        <w:rPr>
          <w:b/>
          <w:bCs/>
          <w:szCs w:val="22"/>
        </w:rPr>
        <w:t>Contents</w:t>
      </w:r>
    </w:p>
    <w:p w:rsidR="00FD7CCB" w:rsidRPr="00FD7CCB" w:rsidRDefault="00FD7CCB" w:rsidP="00FD7CCB">
      <w:pPr>
        <w:pStyle w:val="contentsg"/>
        <w:spacing w:before="0"/>
        <w:rPr>
          <w:sz w:val="22"/>
          <w:szCs w:val="22"/>
        </w:rPr>
      </w:pPr>
      <w:r w:rsidRPr="00C25BD2">
        <w:rPr>
          <w:sz w:val="22"/>
          <w:szCs w:val="22"/>
        </w:rPr>
        <w:t>What This Subpart Covers</w:t>
      </w:r>
    </w:p>
    <w:p w:rsidR="00FD7CCB" w:rsidRPr="00FD7CCB" w:rsidRDefault="00FD7CCB" w:rsidP="00FD7CCB">
      <w:pPr>
        <w:rPr>
          <w:szCs w:val="22"/>
        </w:rPr>
      </w:pPr>
      <w:r w:rsidRPr="00C25BD2">
        <w:rPr>
          <w:szCs w:val="22"/>
        </w:rPr>
        <w:t>§63.6580   What is the purpose of subpart ZZZZ?</w:t>
      </w:r>
      <w:r w:rsidRPr="00FD7CCB">
        <w:rPr>
          <w:szCs w:val="22"/>
        </w:rPr>
        <w:br/>
      </w:r>
      <w:r w:rsidRPr="00C25BD2">
        <w:rPr>
          <w:szCs w:val="22"/>
        </w:rPr>
        <w:t>§63.6585   Am I subject to this subpart?</w:t>
      </w:r>
      <w:r w:rsidRPr="00FD7CCB">
        <w:rPr>
          <w:szCs w:val="22"/>
        </w:rPr>
        <w:br/>
      </w:r>
      <w:r w:rsidRPr="00C25BD2">
        <w:rPr>
          <w:szCs w:val="22"/>
        </w:rPr>
        <w:t>§63.6590   What parts of my plant does this subpart cover?</w:t>
      </w:r>
      <w:r w:rsidRPr="00FD7CCB">
        <w:rPr>
          <w:szCs w:val="22"/>
        </w:rPr>
        <w:br/>
      </w:r>
      <w:r w:rsidRPr="00C25BD2">
        <w:rPr>
          <w:szCs w:val="22"/>
        </w:rPr>
        <w:t>§63.6595   When do I have to comply with this subpart?</w:t>
      </w:r>
    </w:p>
    <w:p w:rsidR="00C25BD2" w:rsidRDefault="00C25BD2" w:rsidP="00FD7CCB">
      <w:pPr>
        <w:pStyle w:val="contentsg"/>
        <w:spacing w:before="0"/>
        <w:rPr>
          <w:sz w:val="22"/>
          <w:szCs w:val="22"/>
        </w:rPr>
      </w:pPr>
    </w:p>
    <w:p w:rsidR="00FD7CCB" w:rsidRPr="00FD7CCB" w:rsidRDefault="00FD7CCB" w:rsidP="00FD7CCB">
      <w:pPr>
        <w:pStyle w:val="contentsg"/>
        <w:spacing w:before="0"/>
        <w:rPr>
          <w:sz w:val="22"/>
          <w:szCs w:val="22"/>
        </w:rPr>
      </w:pPr>
      <w:r w:rsidRPr="00C25BD2">
        <w:rPr>
          <w:sz w:val="22"/>
          <w:szCs w:val="22"/>
        </w:rPr>
        <w:t>Emission and Operating Limitations</w:t>
      </w:r>
    </w:p>
    <w:p w:rsidR="00FD7CCB" w:rsidRPr="00FD7CCB" w:rsidRDefault="00FD7CCB" w:rsidP="00FD7CCB">
      <w:pPr>
        <w:rPr>
          <w:szCs w:val="22"/>
        </w:rPr>
      </w:pPr>
      <w:r w:rsidRPr="00C25BD2">
        <w:rPr>
          <w:szCs w:val="22"/>
        </w:rPr>
        <w:t>§63.6600   What emission limitations and operating limitations must I meet if I own or operate a stationary RICE with a site rating of more than 500 brake HP located at a major source of HAP emissions?</w:t>
      </w:r>
      <w:r w:rsidRPr="00FD7CCB">
        <w:rPr>
          <w:szCs w:val="22"/>
        </w:rPr>
        <w:br/>
      </w:r>
      <w:r w:rsidRPr="00C25BD2">
        <w:rPr>
          <w:szCs w:val="22"/>
        </w:rPr>
        <w:t>§63.6601   What emission limitations must I meet if I own or operate a new or reconstructed 4SLB stationary RICE with a site rating of greater than or equal to 250 brake HP and less than or equal to 500 brake HP located at a major source of HAP emissions?</w:t>
      </w:r>
      <w:r w:rsidRPr="00FD7CCB">
        <w:rPr>
          <w:szCs w:val="22"/>
        </w:rPr>
        <w:br/>
      </w:r>
      <w:r w:rsidRPr="00C25BD2">
        <w:rPr>
          <w:szCs w:val="22"/>
        </w:rPr>
        <w:t>§63.6602   What emission limitations and other requirements must I meet if I own or operate an existing stationary RICE with a site rating of equal to or less than 500 brake HP located at a major source of HAP emissions?</w:t>
      </w:r>
      <w:r w:rsidRPr="00FD7CCB">
        <w:rPr>
          <w:szCs w:val="22"/>
        </w:rPr>
        <w:br/>
      </w:r>
      <w:r w:rsidRPr="00C25BD2">
        <w:rPr>
          <w:szCs w:val="22"/>
        </w:rPr>
        <w:t>§63.6603   What emission limitations, operating limitations, and other requirements must I meet if I own or operate an existing stationary RICE located at an area source of HAP emissions?</w:t>
      </w:r>
      <w:r w:rsidRPr="00FD7CCB">
        <w:rPr>
          <w:szCs w:val="22"/>
        </w:rPr>
        <w:br/>
      </w:r>
      <w:r w:rsidRPr="00C25BD2">
        <w:rPr>
          <w:szCs w:val="22"/>
        </w:rPr>
        <w:t>§63.6604   What fuel requirements must I meet if I own or operate a stationary CI RICE?</w:t>
      </w:r>
    </w:p>
    <w:p w:rsidR="00C25BD2" w:rsidRDefault="00C25BD2" w:rsidP="00FD7CCB">
      <w:pPr>
        <w:pStyle w:val="contentsg"/>
        <w:spacing w:before="0"/>
        <w:rPr>
          <w:sz w:val="22"/>
          <w:szCs w:val="22"/>
        </w:rPr>
      </w:pPr>
    </w:p>
    <w:p w:rsidR="00FD7CCB" w:rsidRPr="00FD7CCB" w:rsidRDefault="00FD7CCB" w:rsidP="00FD7CCB">
      <w:pPr>
        <w:pStyle w:val="contentsg"/>
        <w:spacing w:before="0"/>
        <w:rPr>
          <w:sz w:val="22"/>
          <w:szCs w:val="22"/>
        </w:rPr>
      </w:pPr>
      <w:r w:rsidRPr="00C25BD2">
        <w:rPr>
          <w:sz w:val="22"/>
          <w:szCs w:val="22"/>
        </w:rPr>
        <w:t>General Compliance Requirements</w:t>
      </w:r>
    </w:p>
    <w:p w:rsidR="00FD7CCB" w:rsidRPr="00FD7CCB" w:rsidRDefault="00FD7CCB" w:rsidP="00FD7CCB">
      <w:pPr>
        <w:rPr>
          <w:szCs w:val="22"/>
        </w:rPr>
      </w:pPr>
      <w:r w:rsidRPr="00C25BD2">
        <w:rPr>
          <w:szCs w:val="22"/>
        </w:rPr>
        <w:t>§63.6605   What are my general requirements for complying with this subpart?</w:t>
      </w:r>
    </w:p>
    <w:p w:rsidR="00C25BD2" w:rsidRDefault="00C25BD2" w:rsidP="00FD7CCB">
      <w:pPr>
        <w:pStyle w:val="contentsg"/>
        <w:spacing w:before="0"/>
        <w:rPr>
          <w:sz w:val="22"/>
          <w:szCs w:val="22"/>
        </w:rPr>
      </w:pPr>
    </w:p>
    <w:p w:rsidR="00C25BD2" w:rsidRDefault="00C25BD2">
      <w:pPr>
        <w:rPr>
          <w:smallCaps/>
          <w:szCs w:val="22"/>
        </w:rPr>
      </w:pPr>
      <w:r>
        <w:rPr>
          <w:szCs w:val="22"/>
        </w:rPr>
        <w:br w:type="page"/>
      </w:r>
    </w:p>
    <w:p w:rsidR="00FD7CCB" w:rsidRPr="00FD7CCB" w:rsidRDefault="00FD7CCB" w:rsidP="00FD7CCB">
      <w:pPr>
        <w:pStyle w:val="contentsg"/>
        <w:spacing w:before="0"/>
        <w:rPr>
          <w:sz w:val="22"/>
          <w:szCs w:val="22"/>
        </w:rPr>
      </w:pPr>
      <w:r w:rsidRPr="00C25BD2">
        <w:rPr>
          <w:sz w:val="22"/>
          <w:szCs w:val="22"/>
        </w:rPr>
        <w:lastRenderedPageBreak/>
        <w:t>Testing and Initial Compliance Requirements</w:t>
      </w:r>
    </w:p>
    <w:p w:rsidR="00FD7CCB" w:rsidRPr="00FD7CCB" w:rsidRDefault="00FD7CCB" w:rsidP="00FD7CCB">
      <w:pPr>
        <w:rPr>
          <w:szCs w:val="22"/>
        </w:rPr>
      </w:pPr>
      <w:r w:rsidRPr="00C25BD2">
        <w:rPr>
          <w:szCs w:val="22"/>
        </w:rPr>
        <w:t>§63.6610   By what date must I conduct the initial performance tests or other initial compliance demonstrations if I own or operate a stationary RICE with a site rating of more than 500 brake HP located at a major source of HAP emissions?</w:t>
      </w:r>
      <w:r w:rsidRPr="00FD7CCB">
        <w:rPr>
          <w:szCs w:val="22"/>
        </w:rPr>
        <w:br/>
      </w:r>
      <w:r w:rsidRPr="00C25BD2">
        <w:rPr>
          <w:szCs w:val="22"/>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r w:rsidRPr="00FD7CCB">
        <w:rPr>
          <w:szCs w:val="22"/>
        </w:rPr>
        <w:br/>
      </w:r>
      <w:r w:rsidRPr="00C25BD2">
        <w:rPr>
          <w:szCs w:val="22"/>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r w:rsidRPr="00FD7CCB">
        <w:rPr>
          <w:szCs w:val="22"/>
        </w:rPr>
        <w:br/>
      </w:r>
      <w:r w:rsidRPr="00C25BD2">
        <w:rPr>
          <w:szCs w:val="22"/>
        </w:rPr>
        <w:t>§63.6615   When must I conduct subsequent performance tests?</w:t>
      </w:r>
      <w:r w:rsidRPr="00FD7CCB">
        <w:rPr>
          <w:szCs w:val="22"/>
        </w:rPr>
        <w:br/>
      </w:r>
      <w:r w:rsidRPr="00C25BD2">
        <w:rPr>
          <w:szCs w:val="22"/>
        </w:rPr>
        <w:t>§63.6620   What performance tests and other procedures must I use?</w:t>
      </w:r>
      <w:r w:rsidRPr="00FD7CCB">
        <w:rPr>
          <w:szCs w:val="22"/>
        </w:rPr>
        <w:br/>
      </w:r>
      <w:r w:rsidRPr="00C25BD2">
        <w:rPr>
          <w:szCs w:val="22"/>
        </w:rPr>
        <w:t>§63.6625   What are my monitoring, installation, collection, operation, and maintenance requirements?</w:t>
      </w:r>
      <w:r w:rsidRPr="00FD7CCB">
        <w:rPr>
          <w:szCs w:val="22"/>
        </w:rPr>
        <w:br/>
      </w:r>
      <w:r w:rsidRPr="00C25BD2">
        <w:rPr>
          <w:szCs w:val="22"/>
        </w:rPr>
        <w:t>§63.6630   How do I demonstrate initial compliance with the emission limitations, operating limitations, and other requirements?</w:t>
      </w:r>
    </w:p>
    <w:p w:rsidR="00C25BD2" w:rsidRDefault="00C25BD2" w:rsidP="00FD7CCB">
      <w:pPr>
        <w:pStyle w:val="contentsg"/>
        <w:spacing w:before="0"/>
        <w:rPr>
          <w:sz w:val="22"/>
          <w:szCs w:val="22"/>
        </w:rPr>
      </w:pPr>
    </w:p>
    <w:p w:rsidR="00FD7CCB" w:rsidRPr="00FD7CCB" w:rsidRDefault="00FD7CCB" w:rsidP="00FD7CCB">
      <w:pPr>
        <w:pStyle w:val="contentsg"/>
        <w:spacing w:before="0"/>
        <w:rPr>
          <w:sz w:val="22"/>
          <w:szCs w:val="22"/>
        </w:rPr>
      </w:pPr>
      <w:r w:rsidRPr="00C25BD2">
        <w:rPr>
          <w:sz w:val="22"/>
          <w:szCs w:val="22"/>
        </w:rPr>
        <w:t>Continuous Compliance Requirements</w:t>
      </w:r>
    </w:p>
    <w:p w:rsidR="00FD7CCB" w:rsidRPr="00FD7CCB" w:rsidRDefault="00FD7CCB" w:rsidP="00FD7CCB">
      <w:pPr>
        <w:rPr>
          <w:szCs w:val="22"/>
        </w:rPr>
      </w:pPr>
      <w:r w:rsidRPr="00C25BD2">
        <w:rPr>
          <w:szCs w:val="22"/>
        </w:rPr>
        <w:t>§63.6635   How do I monitor and collect data to demonstrate continuous compliance?</w:t>
      </w:r>
      <w:r w:rsidRPr="00FD7CCB">
        <w:rPr>
          <w:szCs w:val="22"/>
        </w:rPr>
        <w:br/>
      </w:r>
      <w:r w:rsidRPr="00C25BD2">
        <w:rPr>
          <w:szCs w:val="22"/>
        </w:rPr>
        <w:t>§63.6640   How do I demonstrate continuous compliance with the emission limitations, operating limitations, and other requirements?</w:t>
      </w:r>
    </w:p>
    <w:p w:rsidR="00C25BD2" w:rsidRDefault="00C25BD2" w:rsidP="00FD7CCB">
      <w:pPr>
        <w:pStyle w:val="contentsg"/>
        <w:spacing w:before="0"/>
        <w:rPr>
          <w:sz w:val="22"/>
          <w:szCs w:val="22"/>
        </w:rPr>
      </w:pPr>
    </w:p>
    <w:p w:rsidR="00FD7CCB" w:rsidRPr="00FD7CCB" w:rsidRDefault="00FD7CCB" w:rsidP="00FD7CCB">
      <w:pPr>
        <w:pStyle w:val="contentsg"/>
        <w:spacing w:before="0"/>
        <w:rPr>
          <w:sz w:val="22"/>
          <w:szCs w:val="22"/>
        </w:rPr>
      </w:pPr>
      <w:r w:rsidRPr="00C25BD2">
        <w:rPr>
          <w:sz w:val="22"/>
          <w:szCs w:val="22"/>
        </w:rPr>
        <w:t>Notifications, Reports, and Records</w:t>
      </w:r>
    </w:p>
    <w:p w:rsidR="00FD7CCB" w:rsidRPr="00FD7CCB" w:rsidRDefault="00FD7CCB" w:rsidP="00FD7CCB">
      <w:pPr>
        <w:rPr>
          <w:szCs w:val="22"/>
        </w:rPr>
      </w:pPr>
      <w:r w:rsidRPr="00C25BD2">
        <w:rPr>
          <w:szCs w:val="22"/>
        </w:rPr>
        <w:t>§63.6645   What notifications must I submit and when?</w:t>
      </w:r>
      <w:r w:rsidRPr="00FD7CCB">
        <w:rPr>
          <w:szCs w:val="22"/>
        </w:rPr>
        <w:br/>
      </w:r>
      <w:r w:rsidRPr="00C25BD2">
        <w:rPr>
          <w:szCs w:val="22"/>
        </w:rPr>
        <w:t>§63.6650   What reports must I submit and when?</w:t>
      </w:r>
      <w:r w:rsidRPr="00FD7CCB">
        <w:rPr>
          <w:szCs w:val="22"/>
        </w:rPr>
        <w:br/>
      </w:r>
      <w:r w:rsidRPr="00C25BD2">
        <w:rPr>
          <w:szCs w:val="22"/>
        </w:rPr>
        <w:t>§63.6655   What records must I keep?</w:t>
      </w:r>
      <w:r w:rsidRPr="00FD7CCB">
        <w:rPr>
          <w:szCs w:val="22"/>
        </w:rPr>
        <w:br/>
      </w:r>
      <w:r w:rsidRPr="00C25BD2">
        <w:rPr>
          <w:szCs w:val="22"/>
        </w:rPr>
        <w:t>§63.6660   In what form and how long must I keep my records?</w:t>
      </w:r>
    </w:p>
    <w:p w:rsidR="00C25BD2" w:rsidRDefault="00C25BD2" w:rsidP="00FD7CCB">
      <w:pPr>
        <w:pStyle w:val="contentsg"/>
        <w:spacing w:before="0"/>
        <w:rPr>
          <w:sz w:val="22"/>
          <w:szCs w:val="22"/>
        </w:rPr>
      </w:pPr>
    </w:p>
    <w:p w:rsidR="00FD7CCB" w:rsidRPr="00FD7CCB" w:rsidRDefault="00FD7CCB" w:rsidP="00FD7CCB">
      <w:pPr>
        <w:pStyle w:val="contentsg"/>
        <w:spacing w:before="0"/>
        <w:rPr>
          <w:sz w:val="22"/>
          <w:szCs w:val="22"/>
        </w:rPr>
      </w:pPr>
      <w:r w:rsidRPr="00C25BD2">
        <w:rPr>
          <w:sz w:val="22"/>
          <w:szCs w:val="22"/>
        </w:rPr>
        <w:t>Other Requirements and Information</w:t>
      </w:r>
    </w:p>
    <w:p w:rsidR="00FD7CCB" w:rsidRPr="00FD7CCB" w:rsidRDefault="00FD7CCB" w:rsidP="00FD7CCB">
      <w:pPr>
        <w:rPr>
          <w:szCs w:val="22"/>
        </w:rPr>
      </w:pPr>
      <w:r w:rsidRPr="00C25BD2">
        <w:rPr>
          <w:szCs w:val="22"/>
        </w:rPr>
        <w:t>§63.6665   What parts of the General Provisions apply to me?</w:t>
      </w:r>
      <w:r w:rsidRPr="00FD7CCB">
        <w:rPr>
          <w:szCs w:val="22"/>
        </w:rPr>
        <w:br/>
      </w:r>
      <w:r w:rsidRPr="00C25BD2">
        <w:rPr>
          <w:szCs w:val="22"/>
        </w:rPr>
        <w:t>§63.6670   Who implements and enforces this subpart?</w:t>
      </w:r>
      <w:r w:rsidRPr="00FD7CCB">
        <w:rPr>
          <w:szCs w:val="22"/>
        </w:rPr>
        <w:br/>
      </w:r>
      <w:r w:rsidRPr="00C25BD2">
        <w:rPr>
          <w:szCs w:val="22"/>
        </w:rPr>
        <w:t>§63.6675   What definitions apply to this subpart?</w:t>
      </w:r>
      <w:r w:rsidRPr="00FD7CCB">
        <w:rPr>
          <w:szCs w:val="22"/>
        </w:rPr>
        <w:br/>
      </w:r>
      <w:r w:rsidRPr="00C25BD2">
        <w:rPr>
          <w:szCs w:val="22"/>
        </w:rPr>
        <w:t>Table 1a to Subpart ZZZZ of Part 63—Emission Limitations for Existing, New, and Reconstructed Spark Ignition, 4SRB Stationary RICE &gt;500 HP Located at a Major Source of HAP Emissions</w:t>
      </w:r>
      <w:r w:rsidRPr="00FD7CCB">
        <w:rPr>
          <w:szCs w:val="22"/>
        </w:rPr>
        <w:br/>
      </w:r>
      <w:r w:rsidRPr="00C25BD2">
        <w:rPr>
          <w:szCs w:val="22"/>
        </w:rPr>
        <w:t>Table 1b to Subpart ZZZZ of Part 63—Operating Limitations for Existing, New, and Reconstructed SI 4SRB Stationary RICE &gt;500 HP Located at a Major Source of HAP Emissions</w:t>
      </w:r>
      <w:r w:rsidRPr="00FD7CCB">
        <w:rPr>
          <w:szCs w:val="22"/>
        </w:rPr>
        <w:br/>
      </w:r>
      <w:r w:rsidRPr="00C25BD2">
        <w:rPr>
          <w:szCs w:val="22"/>
        </w:rPr>
        <w:t>Table 2a to Subpart ZZZZ of Part 63—Emission Limitations for New and Reconstructed 2SLB and Compression Ignition Stationary RICE &gt;500 HP and New and Reconstructed 4SLB Stationary RICE ≥250 HP Located at a Major Source of HAP Emissions</w:t>
      </w:r>
      <w:r w:rsidRPr="00FD7CCB">
        <w:rPr>
          <w:szCs w:val="22"/>
        </w:rPr>
        <w:br/>
      </w:r>
      <w:r w:rsidRPr="00C25BD2">
        <w:rPr>
          <w:szCs w:val="22"/>
        </w:rP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r w:rsidRPr="00FD7CCB">
        <w:rPr>
          <w:szCs w:val="22"/>
        </w:rPr>
        <w:br/>
      </w:r>
      <w:r w:rsidRPr="00864D72">
        <w:rPr>
          <w:szCs w:val="22"/>
        </w:rPr>
        <w:lastRenderedPageBreak/>
        <w:t>Table 2c to Subpart ZZZZ of Part 63—Requirements for Existing Compression Ignition Stationary RICE Located at a Major Source of HAP Emissions and Existing Spark Ignition Stationary RICE ≤500 HP Located at a Major Source of HAP Emissions</w:t>
      </w:r>
      <w:r w:rsidRPr="00FD7CCB">
        <w:rPr>
          <w:szCs w:val="22"/>
        </w:rPr>
        <w:br/>
      </w:r>
      <w:r w:rsidRPr="00864D72">
        <w:rPr>
          <w:szCs w:val="22"/>
        </w:rPr>
        <w:t>Table 2d to Subpart ZZZZ of Part 63—Requirements for Existing Stationary RICE Located at Area Sources of HAP Emissions</w:t>
      </w:r>
      <w:r w:rsidRPr="00FD7CCB">
        <w:rPr>
          <w:szCs w:val="22"/>
        </w:rPr>
        <w:br/>
      </w:r>
      <w:r w:rsidRPr="00864D72">
        <w:rPr>
          <w:szCs w:val="22"/>
        </w:rPr>
        <w:t>Table 3 to Subpart ZZZZ of Part 63—Subsequent Performance Tests</w:t>
      </w:r>
      <w:r w:rsidRPr="00FD7CCB">
        <w:rPr>
          <w:szCs w:val="22"/>
        </w:rPr>
        <w:br/>
      </w:r>
      <w:r w:rsidRPr="00864D72">
        <w:rPr>
          <w:szCs w:val="22"/>
        </w:rPr>
        <w:t>Table 4 to Subpart ZZZZ of Part 63—Requirements for Performance Tests</w:t>
      </w:r>
      <w:r w:rsidRPr="00FD7CCB">
        <w:rPr>
          <w:szCs w:val="22"/>
        </w:rPr>
        <w:br/>
      </w:r>
      <w:r w:rsidRPr="00864D72">
        <w:rPr>
          <w:szCs w:val="22"/>
        </w:rPr>
        <w:t>Table 5 to Subpart ZZZZ of Part 63—Initial Compliance With Emission Limitations, Operating Limitations, and Other Requirements</w:t>
      </w:r>
      <w:r w:rsidRPr="00FD7CCB">
        <w:rPr>
          <w:szCs w:val="22"/>
        </w:rPr>
        <w:br/>
      </w:r>
      <w:r w:rsidRPr="00864D72">
        <w:rPr>
          <w:szCs w:val="22"/>
        </w:rPr>
        <w:t>Table 6 to Subpart ZZZZ of Part 63—Continuous Compliance With Emission Limitations, and Other Requirements</w:t>
      </w:r>
      <w:r w:rsidRPr="00FD7CCB">
        <w:rPr>
          <w:szCs w:val="22"/>
        </w:rPr>
        <w:br/>
      </w:r>
      <w:r w:rsidRPr="00864D72">
        <w:rPr>
          <w:szCs w:val="22"/>
        </w:rPr>
        <w:t>Table 7 to Subpart ZZZZ of Part 63—Requirements for Reports</w:t>
      </w:r>
      <w:r w:rsidRPr="00FD7CCB">
        <w:rPr>
          <w:szCs w:val="22"/>
        </w:rPr>
        <w:br/>
      </w:r>
      <w:r w:rsidRPr="00864D72">
        <w:rPr>
          <w:szCs w:val="22"/>
        </w:rPr>
        <w:t>Table 8 to Subpart ZZZZ of Part 63—Applicability of General Provisions to Subpart ZZZZ.</w:t>
      </w:r>
      <w:r w:rsidRPr="00FD7CCB">
        <w:rPr>
          <w:szCs w:val="22"/>
        </w:rPr>
        <w:br/>
      </w:r>
      <w:r w:rsidRPr="00864D72">
        <w:rPr>
          <w:szCs w:val="22"/>
        </w:rPr>
        <w:t>Appendix A to Subpart ZZZZ of Part 63—Protocol for Using an Electrochemical Analyzer to Determine Oxygen and Carbon Monoxide Concentrations From Certain Engines</w:t>
      </w:r>
    </w:p>
    <w:p w:rsidR="00FD7CCB" w:rsidRPr="00FD7CCB" w:rsidRDefault="007841E9" w:rsidP="00FD7CCB">
      <w:pPr>
        <w:rPr>
          <w:szCs w:val="22"/>
        </w:rPr>
      </w:pPr>
      <w:r>
        <w:rPr>
          <w:szCs w:val="22"/>
        </w:rPr>
        <w:pict>
          <v:rect id="_x0000_i1036" style="width:0;height:1.5pt" o:hrstd="t" o:hr="t" fillcolor="#a0a0a0" stroked="f"/>
        </w:pict>
      </w:r>
    </w:p>
    <w:p w:rsidR="00FD7CCB" w:rsidRPr="00FD7CCB" w:rsidRDefault="00FD7CCB" w:rsidP="00FD7CCB">
      <w:pPr>
        <w:pStyle w:val="source"/>
        <w:rPr>
          <w:sz w:val="22"/>
          <w:szCs w:val="22"/>
        </w:rPr>
      </w:pPr>
      <w:r w:rsidRPr="00FD7CCB">
        <w:rPr>
          <w:smallCaps/>
          <w:sz w:val="22"/>
          <w:szCs w:val="22"/>
        </w:rPr>
        <w:t>Source:</w:t>
      </w:r>
      <w:r w:rsidRPr="00FD7CCB">
        <w:rPr>
          <w:sz w:val="22"/>
          <w:szCs w:val="22"/>
        </w:rPr>
        <w:t xml:space="preserve"> 69 FR 33506, June 15, 2004, unless otherwise noted. </w:t>
      </w:r>
    </w:p>
    <w:p w:rsidR="00FD7CCB" w:rsidRPr="00FD7CCB" w:rsidRDefault="00FD7CCB" w:rsidP="00FD7CCB">
      <w:pPr>
        <w:pStyle w:val="Heading2"/>
        <w:rPr>
          <w:rFonts w:ascii="Times New Roman" w:hAnsi="Times New Roman" w:cs="Times New Roman"/>
          <w:smallCaps/>
          <w:sz w:val="22"/>
          <w:szCs w:val="22"/>
        </w:rPr>
      </w:pPr>
      <w:bookmarkStart w:id="51" w:name="sg40.15.63.zzzz.sg0"/>
      <w:bookmarkEnd w:id="51"/>
      <w:r w:rsidRPr="00FD7CCB">
        <w:rPr>
          <w:rFonts w:ascii="Times New Roman" w:hAnsi="Times New Roman" w:cs="Times New Roman"/>
          <w:smallCaps/>
          <w:sz w:val="22"/>
          <w:szCs w:val="22"/>
        </w:rPr>
        <w:t>What This Subpart Covers</w:t>
      </w:r>
    </w:p>
    <w:p w:rsidR="00FD7CCB" w:rsidRPr="00FD7CCB" w:rsidRDefault="00FD7CCB" w:rsidP="00FD7CCB">
      <w:pPr>
        <w:pStyle w:val="Heading2"/>
        <w:rPr>
          <w:rFonts w:ascii="Times New Roman" w:hAnsi="Times New Roman" w:cs="Times New Roman"/>
          <w:sz w:val="22"/>
          <w:szCs w:val="22"/>
        </w:rPr>
      </w:pPr>
      <w:bookmarkStart w:id="52" w:name="se40.15.63_16580"/>
      <w:bookmarkEnd w:id="52"/>
      <w:r w:rsidRPr="00FD7CCB">
        <w:rPr>
          <w:rFonts w:ascii="Times New Roman" w:hAnsi="Times New Roman" w:cs="Times New Roman"/>
          <w:sz w:val="22"/>
          <w:szCs w:val="22"/>
        </w:rPr>
        <w:t>§63.6580   What is the purpose of subpart ZZZZ?</w:t>
      </w:r>
    </w:p>
    <w:p w:rsidR="00FD7CCB" w:rsidRPr="00FD7CCB" w:rsidRDefault="00FD7CCB" w:rsidP="00FD7CCB">
      <w:pPr>
        <w:pStyle w:val="NormalWeb"/>
        <w:rPr>
          <w:sz w:val="22"/>
          <w:szCs w:val="22"/>
        </w:rPr>
      </w:pPr>
      <w:r w:rsidRPr="00FD7CCB">
        <w:rPr>
          <w:sz w:val="22"/>
          <w:szCs w:val="22"/>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FD7CCB" w:rsidRPr="00FD7CCB" w:rsidRDefault="00FD7CCB" w:rsidP="00FD7CCB">
      <w:pPr>
        <w:pStyle w:val="cita"/>
        <w:rPr>
          <w:sz w:val="22"/>
          <w:szCs w:val="22"/>
        </w:rPr>
      </w:pPr>
      <w:r w:rsidRPr="00FD7CCB">
        <w:rPr>
          <w:sz w:val="22"/>
          <w:szCs w:val="22"/>
        </w:rPr>
        <w:t>[73 FR 3603, Jan. 18, 2008]</w:t>
      </w:r>
    </w:p>
    <w:p w:rsidR="00FD7CCB" w:rsidRPr="00FD7CCB" w:rsidRDefault="00FD7CCB" w:rsidP="00FD7CCB">
      <w:pPr>
        <w:pStyle w:val="Heading2"/>
        <w:rPr>
          <w:rFonts w:ascii="Times New Roman" w:hAnsi="Times New Roman" w:cs="Times New Roman"/>
          <w:sz w:val="22"/>
          <w:szCs w:val="22"/>
        </w:rPr>
      </w:pPr>
      <w:bookmarkStart w:id="53" w:name="se40.15.63_16585"/>
      <w:bookmarkEnd w:id="53"/>
      <w:r w:rsidRPr="00FD7CCB">
        <w:rPr>
          <w:rFonts w:ascii="Times New Roman" w:hAnsi="Times New Roman" w:cs="Times New Roman"/>
          <w:sz w:val="22"/>
          <w:szCs w:val="22"/>
        </w:rPr>
        <w:t>§63.6585   Am I subject to this subpart?</w:t>
      </w:r>
    </w:p>
    <w:p w:rsidR="00FD7CCB" w:rsidRPr="00FD7CCB" w:rsidRDefault="00FD7CCB" w:rsidP="00FD7CCB">
      <w:pPr>
        <w:pStyle w:val="NormalWeb"/>
        <w:rPr>
          <w:sz w:val="22"/>
          <w:szCs w:val="22"/>
        </w:rPr>
      </w:pPr>
      <w:r w:rsidRPr="00FD7CCB">
        <w:rPr>
          <w:sz w:val="22"/>
          <w:szCs w:val="22"/>
        </w:rPr>
        <w:t>You are subject to this subpart if you own or operate a stationary RICE at a major or area source of HAP emissions, except if the stationary RICE is being tested at a stationary RICE test cell/stand.</w:t>
      </w:r>
    </w:p>
    <w:p w:rsidR="00FD7CCB" w:rsidRPr="00FD7CCB" w:rsidRDefault="00FD7CCB" w:rsidP="00FD7CCB">
      <w:pPr>
        <w:pStyle w:val="NormalWeb"/>
        <w:rPr>
          <w:sz w:val="22"/>
          <w:szCs w:val="22"/>
        </w:rPr>
      </w:pPr>
      <w:r w:rsidRPr="00FD7CCB">
        <w:rPr>
          <w:sz w:val="22"/>
          <w:szCs w:val="22"/>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FD7CCB" w:rsidRPr="00FD7CCB" w:rsidRDefault="00FD7CCB" w:rsidP="00FD7CCB">
      <w:pPr>
        <w:pStyle w:val="NormalWeb"/>
        <w:rPr>
          <w:sz w:val="22"/>
          <w:szCs w:val="22"/>
        </w:rPr>
      </w:pPr>
      <w:r w:rsidRPr="00FD7CCB">
        <w:rPr>
          <w:sz w:val="22"/>
          <w:szCs w:val="22"/>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FD7CCB" w:rsidRPr="00FD7CCB" w:rsidRDefault="00FD7CCB" w:rsidP="00FD7CCB">
      <w:pPr>
        <w:pStyle w:val="NormalWeb"/>
        <w:rPr>
          <w:sz w:val="22"/>
          <w:szCs w:val="22"/>
        </w:rPr>
      </w:pPr>
      <w:r w:rsidRPr="00FD7CCB">
        <w:rPr>
          <w:sz w:val="22"/>
          <w:szCs w:val="22"/>
        </w:rPr>
        <w:t>(c) An area source of HAP emissions is a source that is not a major source.</w:t>
      </w:r>
    </w:p>
    <w:p w:rsidR="00FD7CCB" w:rsidRPr="00FD7CCB" w:rsidRDefault="00FD7CCB" w:rsidP="00FD7CCB">
      <w:pPr>
        <w:pStyle w:val="NormalWeb"/>
        <w:rPr>
          <w:sz w:val="22"/>
          <w:szCs w:val="22"/>
        </w:rPr>
      </w:pPr>
      <w:r w:rsidRPr="00FD7CCB">
        <w:rPr>
          <w:sz w:val="22"/>
          <w:szCs w:val="22"/>
        </w:rPr>
        <w:t xml:space="preserve">(d) If you are an owner or operator of an area source subject to this subpart, your status as an entity subject to a standard or other requirements under this subpart does not subject you to the obligation to obtain a permit </w:t>
      </w:r>
      <w:r w:rsidRPr="00FD7CCB">
        <w:rPr>
          <w:sz w:val="22"/>
          <w:szCs w:val="22"/>
        </w:rPr>
        <w:lastRenderedPageBreak/>
        <w:t>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FD7CCB" w:rsidRPr="00FD7CCB" w:rsidRDefault="00FD7CCB" w:rsidP="00FD7CCB">
      <w:pPr>
        <w:pStyle w:val="NormalWeb"/>
        <w:rPr>
          <w:sz w:val="22"/>
          <w:szCs w:val="22"/>
        </w:rPr>
      </w:pPr>
      <w:r w:rsidRPr="00FD7CCB">
        <w:rPr>
          <w:sz w:val="22"/>
          <w:szCs w:val="22"/>
        </w:rPr>
        <w:t>(e) If you are an owner or operator of a stationary RICE used for national security purposes, you may be eligible to request an exemption from the requirements of this subpart as described in 40 CFR part 1068, subpart C.</w:t>
      </w:r>
    </w:p>
    <w:p w:rsidR="00FD7CCB" w:rsidRPr="00FD7CCB" w:rsidRDefault="00FD7CCB" w:rsidP="00FD7CCB">
      <w:pPr>
        <w:pStyle w:val="NormalWeb"/>
        <w:rPr>
          <w:sz w:val="22"/>
          <w:szCs w:val="22"/>
        </w:rPr>
      </w:pPr>
      <w:r w:rsidRPr="00FD7CCB">
        <w:rPr>
          <w:sz w:val="22"/>
          <w:szCs w:val="22"/>
        </w:rPr>
        <w:t>(f) The emergency stationary RICE listed in paragraphs (f)(1) through (3) of this section are not subject to this subpart. The stationary RICE must meet the definition of an emergency stationary RICE in §63.6675, which includes operating according to the provisions specified in §63.6640(f).</w:t>
      </w:r>
    </w:p>
    <w:p w:rsidR="00FD7CCB" w:rsidRPr="00FD7CCB" w:rsidRDefault="00FD7CCB" w:rsidP="00FD7CCB">
      <w:pPr>
        <w:pStyle w:val="NormalWeb"/>
        <w:rPr>
          <w:sz w:val="22"/>
          <w:szCs w:val="22"/>
        </w:rPr>
      </w:pPr>
      <w:r w:rsidRPr="00FD7CCB">
        <w:rPr>
          <w:sz w:val="22"/>
          <w:szCs w:val="22"/>
        </w:rPr>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FD7CCB" w:rsidRPr="00FD7CCB" w:rsidRDefault="00FD7CCB" w:rsidP="00FD7CCB">
      <w:pPr>
        <w:pStyle w:val="NormalWeb"/>
        <w:rPr>
          <w:sz w:val="22"/>
          <w:szCs w:val="22"/>
        </w:rPr>
      </w:pPr>
      <w:r w:rsidRPr="00FD7CCB">
        <w:rPr>
          <w:sz w:val="22"/>
          <w:szCs w:val="22"/>
        </w:rPr>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FD7CCB" w:rsidRPr="00FD7CCB" w:rsidRDefault="00FD7CCB" w:rsidP="00FD7CCB">
      <w:pPr>
        <w:pStyle w:val="NormalWeb"/>
        <w:rPr>
          <w:sz w:val="22"/>
          <w:szCs w:val="22"/>
        </w:rPr>
      </w:pPr>
      <w:r w:rsidRPr="00FD7CCB">
        <w:rPr>
          <w:sz w:val="22"/>
          <w:szCs w:val="22"/>
        </w:rPr>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FD7CCB" w:rsidRPr="00FD7CCB" w:rsidRDefault="00FD7CCB" w:rsidP="00FD7CCB">
      <w:pPr>
        <w:pStyle w:val="cita"/>
        <w:rPr>
          <w:sz w:val="22"/>
          <w:szCs w:val="22"/>
        </w:rPr>
      </w:pPr>
      <w:r w:rsidRPr="00FD7CCB">
        <w:rPr>
          <w:sz w:val="22"/>
          <w:szCs w:val="22"/>
        </w:rPr>
        <w:t>[69 FR 33506, June 15, 2004, as amended at 73 FR 3603, Jan. 18, 2008; 78 FR 6700, Jan. 30, 2013]</w:t>
      </w:r>
    </w:p>
    <w:p w:rsidR="00FD7CCB" w:rsidRPr="00FD7CCB" w:rsidRDefault="00FD7CCB" w:rsidP="00FD7CCB">
      <w:pPr>
        <w:pStyle w:val="Heading2"/>
        <w:rPr>
          <w:rFonts w:ascii="Times New Roman" w:hAnsi="Times New Roman" w:cs="Times New Roman"/>
          <w:sz w:val="22"/>
          <w:szCs w:val="22"/>
        </w:rPr>
      </w:pPr>
      <w:bookmarkStart w:id="54" w:name="se40.15.63_16590"/>
      <w:bookmarkEnd w:id="54"/>
      <w:r w:rsidRPr="00FD7CCB">
        <w:rPr>
          <w:rFonts w:ascii="Times New Roman" w:hAnsi="Times New Roman" w:cs="Times New Roman"/>
          <w:sz w:val="22"/>
          <w:szCs w:val="22"/>
        </w:rPr>
        <w:t>§63.6590   What parts of my plant does this subpart cover?</w:t>
      </w:r>
    </w:p>
    <w:p w:rsidR="00FD7CCB" w:rsidRPr="00FD7CCB" w:rsidRDefault="00FD7CCB" w:rsidP="00FD7CCB">
      <w:pPr>
        <w:pStyle w:val="NormalWeb"/>
        <w:rPr>
          <w:sz w:val="22"/>
          <w:szCs w:val="22"/>
        </w:rPr>
      </w:pPr>
      <w:r w:rsidRPr="00FD7CCB">
        <w:rPr>
          <w:sz w:val="22"/>
          <w:szCs w:val="22"/>
        </w:rPr>
        <w:t>This subpart applies to each affected source.</w:t>
      </w:r>
    </w:p>
    <w:p w:rsidR="00FD7CCB" w:rsidRPr="00FD7CCB" w:rsidRDefault="00FD7CCB" w:rsidP="00FD7CCB">
      <w:pPr>
        <w:pStyle w:val="NormalWeb"/>
        <w:rPr>
          <w:sz w:val="22"/>
          <w:szCs w:val="22"/>
        </w:rPr>
      </w:pPr>
      <w:r w:rsidRPr="00FD7CCB">
        <w:rPr>
          <w:sz w:val="22"/>
          <w:szCs w:val="22"/>
        </w:rPr>
        <w:t xml:space="preserve">(a) </w:t>
      </w:r>
      <w:r w:rsidRPr="00FD7CCB">
        <w:rPr>
          <w:i/>
          <w:iCs/>
          <w:sz w:val="22"/>
          <w:szCs w:val="22"/>
        </w:rPr>
        <w:t>Affected source.</w:t>
      </w:r>
      <w:r w:rsidRPr="00FD7CCB">
        <w:rPr>
          <w:sz w:val="22"/>
          <w:szCs w:val="22"/>
        </w:rPr>
        <w:t xml:space="preserve"> An affected source is any existing, new, or reconstructed stationary RICE located at a major or area source of HAP emissions, excluding stationary RICE being tested at a stationary RICE test cell/stand.</w:t>
      </w:r>
    </w:p>
    <w:p w:rsidR="00FD7CCB" w:rsidRPr="00FD7CCB" w:rsidRDefault="00FD7CCB" w:rsidP="00FD7CCB">
      <w:pPr>
        <w:pStyle w:val="NormalWeb"/>
        <w:rPr>
          <w:sz w:val="22"/>
          <w:szCs w:val="22"/>
        </w:rPr>
      </w:pPr>
      <w:r w:rsidRPr="00FD7CCB">
        <w:rPr>
          <w:sz w:val="22"/>
          <w:szCs w:val="22"/>
        </w:rPr>
        <w:t xml:space="preserve">(1) </w:t>
      </w:r>
      <w:r w:rsidRPr="00FD7CCB">
        <w:rPr>
          <w:i/>
          <w:iCs/>
          <w:sz w:val="22"/>
          <w:szCs w:val="22"/>
        </w:rPr>
        <w:t>Existing stationary RICE.</w:t>
      </w:r>
    </w:p>
    <w:p w:rsidR="00FD7CCB" w:rsidRPr="00FD7CCB" w:rsidRDefault="00FD7CCB" w:rsidP="00FD7CCB">
      <w:pPr>
        <w:pStyle w:val="NormalWeb"/>
        <w:rPr>
          <w:sz w:val="22"/>
          <w:szCs w:val="22"/>
        </w:rPr>
      </w:pPr>
      <w:r w:rsidRPr="00FD7CCB">
        <w:rPr>
          <w:sz w:val="22"/>
          <w:szCs w:val="22"/>
        </w:rPr>
        <w:t>(i) For stationary RICE with a site rating of more than 500 brake horsepower (HP) located at a major source of HAP emissions, a stationary RICE is existing if you commenced construction or reconstruction of the stationary RICE before December 19, 2002.</w:t>
      </w:r>
    </w:p>
    <w:p w:rsidR="00FD7CCB" w:rsidRPr="00FD7CCB" w:rsidRDefault="00FD7CCB" w:rsidP="00FD7CCB">
      <w:pPr>
        <w:pStyle w:val="NormalWeb"/>
        <w:rPr>
          <w:sz w:val="22"/>
          <w:szCs w:val="22"/>
        </w:rPr>
      </w:pPr>
      <w:r w:rsidRPr="00FD7CCB">
        <w:rPr>
          <w:sz w:val="22"/>
          <w:szCs w:val="22"/>
        </w:rPr>
        <w:t>(ii) For stationary RICE with a site rating of less than or equal to 500 brake HP located at a major source of HAP emissions, a stationary RICE is existing if you commenced construction or reconstruction of the stationary RICE before June 12, 2006.</w:t>
      </w:r>
    </w:p>
    <w:p w:rsidR="00FD7CCB" w:rsidRPr="00FD7CCB" w:rsidRDefault="00FD7CCB" w:rsidP="00FD7CCB">
      <w:pPr>
        <w:pStyle w:val="NormalWeb"/>
        <w:rPr>
          <w:sz w:val="22"/>
          <w:szCs w:val="22"/>
        </w:rPr>
      </w:pPr>
      <w:r w:rsidRPr="00FD7CCB">
        <w:rPr>
          <w:sz w:val="22"/>
          <w:szCs w:val="22"/>
        </w:rPr>
        <w:t>(iii) For stationary RICE located at an area source of HAP emissions, a stationary RICE is existing if you commenced construction or reconstruction of the stationary RICE before June 12, 2006.</w:t>
      </w:r>
    </w:p>
    <w:p w:rsidR="00FD7CCB" w:rsidRPr="00FD7CCB" w:rsidRDefault="00FD7CCB" w:rsidP="00FD7CCB">
      <w:pPr>
        <w:pStyle w:val="NormalWeb"/>
        <w:rPr>
          <w:sz w:val="22"/>
          <w:szCs w:val="22"/>
        </w:rPr>
      </w:pPr>
      <w:r w:rsidRPr="00FD7CCB">
        <w:rPr>
          <w:sz w:val="22"/>
          <w:szCs w:val="22"/>
        </w:rPr>
        <w:lastRenderedPageBreak/>
        <w:t>(iv) A change in ownership of an existing stationary RICE does not make that stationary RICE a new or reconstructed stationary RICE.</w:t>
      </w:r>
    </w:p>
    <w:p w:rsidR="00FD7CCB" w:rsidRPr="00FD7CCB" w:rsidRDefault="00FD7CCB" w:rsidP="00FD7CCB">
      <w:pPr>
        <w:pStyle w:val="NormalWeb"/>
        <w:rPr>
          <w:sz w:val="22"/>
          <w:szCs w:val="22"/>
        </w:rPr>
      </w:pPr>
      <w:r w:rsidRPr="00FD7CCB">
        <w:rPr>
          <w:sz w:val="22"/>
          <w:szCs w:val="22"/>
        </w:rPr>
        <w:t xml:space="preserve">(2) </w:t>
      </w:r>
      <w:r w:rsidRPr="00FD7CCB">
        <w:rPr>
          <w:i/>
          <w:iCs/>
          <w:sz w:val="22"/>
          <w:szCs w:val="22"/>
        </w:rPr>
        <w:t>New stationary RICE.</w:t>
      </w:r>
      <w:r w:rsidRPr="00FD7CCB">
        <w:rPr>
          <w:sz w:val="22"/>
          <w:szCs w:val="22"/>
        </w:rPr>
        <w:t xml:space="preserve"> (i) A stationary RICE with a site rating of more than 500 brake HP located at a major source of HAP emissions is new if you commenced construction of the stationary RICE on or after December 19, 2002.</w:t>
      </w:r>
    </w:p>
    <w:p w:rsidR="00FD7CCB" w:rsidRPr="00FD7CCB" w:rsidRDefault="00FD7CCB" w:rsidP="00FD7CCB">
      <w:pPr>
        <w:pStyle w:val="NormalWeb"/>
        <w:rPr>
          <w:sz w:val="22"/>
          <w:szCs w:val="22"/>
        </w:rPr>
      </w:pPr>
      <w:r w:rsidRPr="00FD7CCB">
        <w:rPr>
          <w:sz w:val="22"/>
          <w:szCs w:val="22"/>
        </w:rPr>
        <w:t>(ii) A stationary RICE with a site rating of equal to or less than 500 brake HP located at a major source of HAP emissions is new if you commenced construction of the stationary RICE on or after June 12, 2006.</w:t>
      </w:r>
    </w:p>
    <w:p w:rsidR="00FD7CCB" w:rsidRPr="00FD7CCB" w:rsidRDefault="00FD7CCB" w:rsidP="00FD7CCB">
      <w:pPr>
        <w:pStyle w:val="NormalWeb"/>
        <w:rPr>
          <w:sz w:val="22"/>
          <w:szCs w:val="22"/>
        </w:rPr>
      </w:pPr>
      <w:r w:rsidRPr="00FD7CCB">
        <w:rPr>
          <w:sz w:val="22"/>
          <w:szCs w:val="22"/>
        </w:rPr>
        <w:t>(iii) A stationary RICE located at an area source of HAP emissions is new if you commenced construction of the stationary RICE on or after June 12, 2006.</w:t>
      </w:r>
    </w:p>
    <w:p w:rsidR="00FD7CCB" w:rsidRPr="00FD7CCB" w:rsidRDefault="00FD7CCB" w:rsidP="00FD7CCB">
      <w:pPr>
        <w:pStyle w:val="NormalWeb"/>
        <w:rPr>
          <w:sz w:val="22"/>
          <w:szCs w:val="22"/>
        </w:rPr>
      </w:pPr>
      <w:r w:rsidRPr="00FD7CCB">
        <w:rPr>
          <w:sz w:val="22"/>
          <w:szCs w:val="22"/>
        </w:rPr>
        <w:t xml:space="preserve">(3) </w:t>
      </w:r>
      <w:r w:rsidRPr="00FD7CCB">
        <w:rPr>
          <w:i/>
          <w:iCs/>
          <w:sz w:val="22"/>
          <w:szCs w:val="22"/>
        </w:rPr>
        <w:t>Reconstructed stationary RICE.</w:t>
      </w:r>
      <w:r w:rsidRPr="00FD7CCB">
        <w:rPr>
          <w:sz w:val="22"/>
          <w:szCs w:val="22"/>
        </w:rPr>
        <w:t xml:space="preserve"> (i) A stationary RICE with a site rating of more than 500 brake HP located at a major source of HAP emissions is reconstructed if you meet the definition of reconstruction in §63.2 and reconstruction is commenced on or after December 19, 2002.</w:t>
      </w:r>
    </w:p>
    <w:p w:rsidR="00FD7CCB" w:rsidRPr="00FD7CCB" w:rsidRDefault="00FD7CCB" w:rsidP="00FD7CCB">
      <w:pPr>
        <w:pStyle w:val="NormalWeb"/>
        <w:rPr>
          <w:sz w:val="22"/>
          <w:szCs w:val="22"/>
        </w:rPr>
      </w:pPr>
      <w:r w:rsidRPr="00FD7CCB">
        <w:rPr>
          <w:sz w:val="22"/>
          <w:szCs w:val="22"/>
        </w:rPr>
        <w:t>(ii) A stationary RICE with a site rating of equal to or less than 500 brake HP located at a major source of HAP emissions is reconstructed if you meet the definition of reconstruction in §63.2 and reconstruction is commenced on or after June 12, 2006.</w:t>
      </w:r>
    </w:p>
    <w:p w:rsidR="00FD7CCB" w:rsidRPr="00FD7CCB" w:rsidRDefault="00FD7CCB" w:rsidP="00FD7CCB">
      <w:pPr>
        <w:pStyle w:val="NormalWeb"/>
        <w:rPr>
          <w:sz w:val="22"/>
          <w:szCs w:val="22"/>
        </w:rPr>
      </w:pPr>
      <w:r w:rsidRPr="00FD7CCB">
        <w:rPr>
          <w:sz w:val="22"/>
          <w:szCs w:val="22"/>
        </w:rPr>
        <w:t>(iii) A stationary RICE located at an area source of HAP emissions is reconstructed if you meet the definition of reconstruction in §63.2 and reconstruction is commenced on or after June 12, 2006.</w:t>
      </w:r>
    </w:p>
    <w:p w:rsidR="00FD7CCB" w:rsidRPr="00FD7CCB" w:rsidRDefault="00FD7CCB" w:rsidP="00FD7CCB">
      <w:pPr>
        <w:pStyle w:val="NormalWeb"/>
        <w:rPr>
          <w:sz w:val="22"/>
          <w:szCs w:val="22"/>
        </w:rPr>
      </w:pPr>
      <w:r w:rsidRPr="00FD7CCB">
        <w:rPr>
          <w:sz w:val="22"/>
          <w:szCs w:val="22"/>
        </w:rPr>
        <w:t xml:space="preserve">(b) </w:t>
      </w:r>
      <w:r w:rsidRPr="00FD7CCB">
        <w:rPr>
          <w:i/>
          <w:iCs/>
          <w:sz w:val="22"/>
          <w:szCs w:val="22"/>
        </w:rPr>
        <w:t>Stationary RICE subject to limited requirements.</w:t>
      </w:r>
      <w:r w:rsidRPr="00FD7CCB">
        <w:rPr>
          <w:sz w:val="22"/>
          <w:szCs w:val="22"/>
        </w:rPr>
        <w:t xml:space="preserve"> (1) An affected source which meets either of the criteria in paragraphs (b)(1)(i) through (ii) of this section does not have to meet the requirements of this subpart and of subpart A of this part except for the initial notification requirements of §63.6645(f).</w:t>
      </w:r>
    </w:p>
    <w:p w:rsidR="00FD7CCB" w:rsidRPr="00FD7CCB" w:rsidRDefault="00FD7CCB" w:rsidP="00FD7CCB">
      <w:pPr>
        <w:pStyle w:val="NormalWeb"/>
        <w:rPr>
          <w:sz w:val="22"/>
          <w:szCs w:val="22"/>
        </w:rPr>
      </w:pPr>
      <w:r w:rsidRPr="00FD7CCB">
        <w:rPr>
          <w:sz w:val="22"/>
          <w:szCs w:val="22"/>
        </w:rPr>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FD7CCB" w:rsidRPr="00FD7CCB" w:rsidRDefault="00FD7CCB" w:rsidP="00FD7CCB">
      <w:pPr>
        <w:pStyle w:val="NormalWeb"/>
        <w:rPr>
          <w:sz w:val="22"/>
          <w:szCs w:val="22"/>
        </w:rPr>
      </w:pPr>
      <w:r w:rsidRPr="00FD7CCB">
        <w:rPr>
          <w:sz w:val="22"/>
          <w:szCs w:val="22"/>
        </w:rPr>
        <w:t>(ii) The stationary RICE is a new or reconstructed limited use stationary RICE with a site rating of more than 500 brake HP located at a major source of HAP emissions.</w:t>
      </w:r>
    </w:p>
    <w:p w:rsidR="00FD7CCB" w:rsidRPr="00FD7CCB" w:rsidRDefault="00FD7CCB" w:rsidP="00FD7CCB">
      <w:pPr>
        <w:pStyle w:val="NormalWeb"/>
        <w:rPr>
          <w:sz w:val="22"/>
          <w:szCs w:val="22"/>
        </w:rPr>
      </w:pPr>
      <w:r w:rsidRPr="00FD7CCB">
        <w:rPr>
          <w:sz w:val="22"/>
          <w:szCs w:val="22"/>
        </w:rPr>
        <w:t xml:space="preserve">(2)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w:t>
      </w:r>
      <w:proofErr w:type="gramStart"/>
      <w:r w:rsidRPr="00FD7CCB">
        <w:rPr>
          <w:sz w:val="22"/>
          <w:szCs w:val="22"/>
        </w:rPr>
        <w:t>These stationary RICE</w:t>
      </w:r>
      <w:proofErr w:type="gramEnd"/>
      <w:r w:rsidRPr="00FD7CCB">
        <w:rPr>
          <w:sz w:val="22"/>
          <w:szCs w:val="22"/>
        </w:rPr>
        <w:t xml:space="preserve"> do not have to meet the emission limitations and operating limitations of this subpart.</w:t>
      </w:r>
    </w:p>
    <w:p w:rsidR="00FD7CCB" w:rsidRPr="00FD7CCB" w:rsidRDefault="00FD7CCB" w:rsidP="00FD7CCB">
      <w:pPr>
        <w:pStyle w:val="NormalWeb"/>
        <w:rPr>
          <w:sz w:val="22"/>
          <w:szCs w:val="22"/>
        </w:rPr>
      </w:pPr>
      <w:r w:rsidRPr="00FD7CCB">
        <w:rPr>
          <w:sz w:val="22"/>
          <w:szCs w:val="22"/>
        </w:rPr>
        <w:t>(3) The following stationary RICE do not have to meet the requirements of this subpart and of subpart A of this part, including initial notification requirements:</w:t>
      </w:r>
    </w:p>
    <w:p w:rsidR="00FD7CCB" w:rsidRPr="00FD7CCB" w:rsidRDefault="00FD7CCB" w:rsidP="00FD7CCB">
      <w:pPr>
        <w:pStyle w:val="NormalWeb"/>
        <w:rPr>
          <w:sz w:val="22"/>
          <w:szCs w:val="22"/>
        </w:rPr>
      </w:pPr>
      <w:r w:rsidRPr="00FD7CCB">
        <w:rPr>
          <w:sz w:val="22"/>
          <w:szCs w:val="22"/>
        </w:rPr>
        <w:t>(i) Existing spark ignition 2 stroke lean burn (2SLB) stationary RICE with a site rating of more than 500 brake HP located at a major source of HAP emissions;</w:t>
      </w:r>
    </w:p>
    <w:p w:rsidR="00FD7CCB" w:rsidRPr="00FD7CCB" w:rsidRDefault="00FD7CCB" w:rsidP="00FD7CCB">
      <w:pPr>
        <w:pStyle w:val="NormalWeb"/>
        <w:rPr>
          <w:sz w:val="22"/>
          <w:szCs w:val="22"/>
        </w:rPr>
      </w:pPr>
      <w:r w:rsidRPr="00FD7CCB">
        <w:rPr>
          <w:sz w:val="22"/>
          <w:szCs w:val="22"/>
        </w:rPr>
        <w:lastRenderedPageBreak/>
        <w:t>(ii) Existing spark ignition 4 stroke lean burn (4SLB) stationary RICE with a site rating of more than 500 brake HP located at a major source of HAP emissions;</w:t>
      </w:r>
    </w:p>
    <w:p w:rsidR="00FD7CCB" w:rsidRPr="00FD7CCB" w:rsidRDefault="00FD7CCB" w:rsidP="00FD7CCB">
      <w:pPr>
        <w:pStyle w:val="NormalWeb"/>
        <w:rPr>
          <w:sz w:val="22"/>
          <w:szCs w:val="22"/>
        </w:rPr>
      </w:pPr>
      <w:r w:rsidRPr="00FD7CCB">
        <w:rPr>
          <w:sz w:val="22"/>
          <w:szCs w:val="22"/>
        </w:rPr>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FD7CCB" w:rsidRPr="00FD7CCB" w:rsidRDefault="00FD7CCB" w:rsidP="00FD7CCB">
      <w:pPr>
        <w:pStyle w:val="NormalWeb"/>
        <w:rPr>
          <w:sz w:val="22"/>
          <w:szCs w:val="22"/>
        </w:rPr>
      </w:pPr>
      <w:r w:rsidRPr="00FD7CCB">
        <w:rPr>
          <w:sz w:val="22"/>
          <w:szCs w:val="22"/>
        </w:rPr>
        <w:t>(iv) Existing limited use stationary RICE with a site rating of more than 500 brake HP located at a major source of HAP emissions;</w:t>
      </w:r>
    </w:p>
    <w:p w:rsidR="00FD7CCB" w:rsidRPr="00FD7CCB" w:rsidRDefault="00FD7CCB" w:rsidP="00FD7CCB">
      <w:pPr>
        <w:pStyle w:val="NormalWeb"/>
        <w:rPr>
          <w:sz w:val="22"/>
          <w:szCs w:val="22"/>
        </w:rPr>
      </w:pPr>
      <w:r w:rsidRPr="00FD7CCB">
        <w:rPr>
          <w:sz w:val="22"/>
          <w:szCs w:val="22"/>
        </w:rPr>
        <w:t>(v) Existing stationary RICE with a site rating of more than 500 brake HP located at a major source of HAP emissions that combusts landfill gas or digester gas equivalent to 10 percent or more of the gross heat input on an annual basis;</w:t>
      </w:r>
    </w:p>
    <w:p w:rsidR="00FD7CCB" w:rsidRPr="00FD7CCB" w:rsidRDefault="00FD7CCB" w:rsidP="00FD7CCB">
      <w:pPr>
        <w:pStyle w:val="NormalWeb"/>
        <w:rPr>
          <w:sz w:val="22"/>
          <w:szCs w:val="22"/>
        </w:rPr>
      </w:pPr>
      <w:r w:rsidRPr="00FD7CCB">
        <w:rPr>
          <w:sz w:val="22"/>
          <w:szCs w:val="22"/>
        </w:rPr>
        <w:t xml:space="preserve">(c) </w:t>
      </w:r>
      <w:r w:rsidRPr="00FD7CCB">
        <w:rPr>
          <w:i/>
          <w:iCs/>
          <w:sz w:val="22"/>
          <w:szCs w:val="22"/>
        </w:rPr>
        <w:t>Stationary RICE subject to Regulations under 40 CFR Part 60.</w:t>
      </w:r>
      <w:r w:rsidRPr="00FD7CCB">
        <w:rPr>
          <w:sz w:val="22"/>
          <w:szCs w:val="22"/>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FD7CCB" w:rsidRPr="00FD7CCB" w:rsidRDefault="00FD7CCB" w:rsidP="00FD7CCB">
      <w:pPr>
        <w:pStyle w:val="NormalWeb"/>
        <w:rPr>
          <w:sz w:val="22"/>
          <w:szCs w:val="22"/>
        </w:rPr>
      </w:pPr>
      <w:r w:rsidRPr="00FD7CCB">
        <w:rPr>
          <w:sz w:val="22"/>
          <w:szCs w:val="22"/>
        </w:rPr>
        <w:t>(1) A new or reconstructed stationary RICE located at an area source;</w:t>
      </w:r>
    </w:p>
    <w:p w:rsidR="00FD7CCB" w:rsidRPr="00FD7CCB" w:rsidRDefault="00FD7CCB" w:rsidP="00FD7CCB">
      <w:pPr>
        <w:pStyle w:val="NormalWeb"/>
        <w:rPr>
          <w:sz w:val="22"/>
          <w:szCs w:val="22"/>
        </w:rPr>
      </w:pPr>
      <w:r w:rsidRPr="00FD7CCB">
        <w:rPr>
          <w:sz w:val="22"/>
          <w:szCs w:val="22"/>
        </w:rPr>
        <w:t>(2) A new or reconstructed 2SLB stationary RICE with a site rating of less than or equal to 500 brake HP located at a major source of HAP emissions;</w:t>
      </w:r>
    </w:p>
    <w:p w:rsidR="00FD7CCB" w:rsidRPr="00FD7CCB" w:rsidRDefault="00FD7CCB" w:rsidP="00FD7CCB">
      <w:pPr>
        <w:pStyle w:val="NormalWeb"/>
        <w:rPr>
          <w:sz w:val="22"/>
          <w:szCs w:val="22"/>
        </w:rPr>
      </w:pPr>
      <w:r w:rsidRPr="00FD7CCB">
        <w:rPr>
          <w:sz w:val="22"/>
          <w:szCs w:val="22"/>
        </w:rPr>
        <w:t>(3) A new or reconstructed 4SLB stationary RICE with a site rating of less than 250 brake HP located at a major source of HAP emissions;</w:t>
      </w:r>
    </w:p>
    <w:p w:rsidR="00FD7CCB" w:rsidRPr="00FD7CCB" w:rsidRDefault="00FD7CCB" w:rsidP="00FD7CCB">
      <w:pPr>
        <w:pStyle w:val="NormalWeb"/>
        <w:rPr>
          <w:sz w:val="22"/>
          <w:szCs w:val="22"/>
        </w:rPr>
      </w:pPr>
      <w:r w:rsidRPr="00FD7CCB">
        <w:rPr>
          <w:sz w:val="22"/>
          <w:szCs w:val="22"/>
        </w:rPr>
        <w:t>(4) A new or reconstructed spark ignition 4 stroke rich burn (4SRB) stationary RICE with a site rating of less than or equal to 500 brake HP located at a major source of HAP emissions;</w:t>
      </w:r>
    </w:p>
    <w:p w:rsidR="00FD7CCB" w:rsidRPr="00FD7CCB" w:rsidRDefault="00FD7CCB" w:rsidP="00FD7CCB">
      <w:pPr>
        <w:pStyle w:val="NormalWeb"/>
        <w:rPr>
          <w:sz w:val="22"/>
          <w:szCs w:val="22"/>
        </w:rPr>
      </w:pPr>
      <w:r w:rsidRPr="00FD7CCB">
        <w:rPr>
          <w:sz w:val="22"/>
          <w:szCs w:val="22"/>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FD7CCB" w:rsidRPr="00FD7CCB" w:rsidRDefault="00FD7CCB" w:rsidP="00FD7CCB">
      <w:pPr>
        <w:pStyle w:val="NormalWeb"/>
        <w:rPr>
          <w:sz w:val="22"/>
          <w:szCs w:val="22"/>
        </w:rPr>
      </w:pPr>
      <w:r w:rsidRPr="00FD7CCB">
        <w:rPr>
          <w:sz w:val="22"/>
          <w:szCs w:val="22"/>
        </w:rPr>
        <w:t>(6) A new or reconstructed emergency or limited use stationary RICE with a site rating of less than or equal to 500 brake HP located at a major source of HAP emissions;</w:t>
      </w:r>
    </w:p>
    <w:p w:rsidR="00FD7CCB" w:rsidRPr="00FD7CCB" w:rsidRDefault="00FD7CCB" w:rsidP="00FD7CCB">
      <w:pPr>
        <w:pStyle w:val="NormalWeb"/>
        <w:rPr>
          <w:sz w:val="22"/>
          <w:szCs w:val="22"/>
        </w:rPr>
      </w:pPr>
      <w:r w:rsidRPr="00FD7CCB">
        <w:rPr>
          <w:sz w:val="22"/>
          <w:szCs w:val="22"/>
        </w:rPr>
        <w:t>(7) A new or reconstructed compression ignition (CI) stationary RICE with a site rating of less than or equal to 500 brake HP located at a major source of HAP emissions.</w:t>
      </w:r>
    </w:p>
    <w:p w:rsidR="00FD7CCB" w:rsidRPr="00FD7CCB" w:rsidRDefault="00FD7CCB" w:rsidP="00FD7CCB">
      <w:pPr>
        <w:pStyle w:val="cita"/>
        <w:rPr>
          <w:sz w:val="22"/>
          <w:szCs w:val="22"/>
        </w:rPr>
      </w:pPr>
      <w:r w:rsidRPr="00FD7CCB">
        <w:rPr>
          <w:sz w:val="22"/>
          <w:szCs w:val="22"/>
        </w:rPr>
        <w:t>[69 FR 33506, June 15, 2004, as amended at 73 FR 3604, Jan. 18, 2008; 75 FR 9674, Mar. 3, 2010; 75 FR 37733, June 30, 2010; 75 FR 51588, Aug. 20, 2010; 78 FR 6700, Jan. 30, 2013]</w:t>
      </w:r>
    </w:p>
    <w:p w:rsidR="00FD7CCB" w:rsidRPr="00FD7CCB" w:rsidRDefault="00FD7CCB" w:rsidP="00FD7CCB">
      <w:pPr>
        <w:pStyle w:val="Heading2"/>
        <w:rPr>
          <w:rFonts w:ascii="Times New Roman" w:hAnsi="Times New Roman" w:cs="Times New Roman"/>
          <w:sz w:val="22"/>
          <w:szCs w:val="22"/>
        </w:rPr>
      </w:pPr>
      <w:bookmarkStart w:id="55" w:name="se40.15.63_16595"/>
      <w:bookmarkEnd w:id="55"/>
      <w:r w:rsidRPr="00FD7CCB">
        <w:rPr>
          <w:rFonts w:ascii="Times New Roman" w:hAnsi="Times New Roman" w:cs="Times New Roman"/>
          <w:sz w:val="22"/>
          <w:szCs w:val="22"/>
        </w:rPr>
        <w:t>§63.6595   When do I have to comply with this subpart?</w:t>
      </w:r>
    </w:p>
    <w:p w:rsidR="00FD7CCB" w:rsidRPr="00FD7CCB" w:rsidRDefault="00FD7CCB" w:rsidP="00FD7CCB">
      <w:pPr>
        <w:pStyle w:val="NormalWeb"/>
        <w:rPr>
          <w:sz w:val="22"/>
          <w:szCs w:val="22"/>
        </w:rPr>
      </w:pPr>
      <w:r w:rsidRPr="00FD7CCB">
        <w:rPr>
          <w:sz w:val="22"/>
          <w:szCs w:val="22"/>
        </w:rPr>
        <w:t xml:space="preserve">(a) </w:t>
      </w:r>
      <w:r w:rsidRPr="00FD7CCB">
        <w:rPr>
          <w:i/>
          <w:iCs/>
          <w:sz w:val="22"/>
          <w:szCs w:val="22"/>
        </w:rPr>
        <w:t>Affected sources.</w:t>
      </w:r>
      <w:r w:rsidRPr="00FD7CCB">
        <w:rPr>
          <w:sz w:val="22"/>
          <w:szCs w:val="22"/>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w:t>
      </w:r>
      <w:r w:rsidRPr="00FD7CCB">
        <w:rPr>
          <w:sz w:val="22"/>
          <w:szCs w:val="22"/>
        </w:rPr>
        <w:lastRenderedPageBreak/>
        <w:t>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FD7CCB" w:rsidRPr="00FD7CCB" w:rsidRDefault="00FD7CCB" w:rsidP="00FD7CCB">
      <w:pPr>
        <w:pStyle w:val="NormalWeb"/>
        <w:rPr>
          <w:sz w:val="22"/>
          <w:szCs w:val="22"/>
        </w:rPr>
      </w:pPr>
      <w:r w:rsidRPr="00FD7CCB">
        <w:rPr>
          <w:sz w:val="22"/>
          <w:szCs w:val="22"/>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FD7CCB" w:rsidRPr="00FD7CCB" w:rsidRDefault="00FD7CCB" w:rsidP="00FD7CCB">
      <w:pPr>
        <w:pStyle w:val="NormalWeb"/>
        <w:rPr>
          <w:sz w:val="22"/>
          <w:szCs w:val="22"/>
        </w:rPr>
      </w:pPr>
      <w:r w:rsidRPr="00FD7CCB">
        <w:rPr>
          <w:sz w:val="22"/>
          <w:szCs w:val="22"/>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FD7CCB" w:rsidRPr="00FD7CCB" w:rsidRDefault="00FD7CCB" w:rsidP="00FD7CCB">
      <w:pPr>
        <w:pStyle w:val="NormalWeb"/>
        <w:rPr>
          <w:sz w:val="22"/>
          <w:szCs w:val="22"/>
        </w:rPr>
      </w:pPr>
      <w:r w:rsidRPr="00FD7CCB">
        <w:rPr>
          <w:sz w:val="22"/>
          <w:szCs w:val="22"/>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FD7CCB" w:rsidRPr="00FD7CCB" w:rsidRDefault="00FD7CCB" w:rsidP="00FD7CCB">
      <w:pPr>
        <w:pStyle w:val="NormalWeb"/>
        <w:rPr>
          <w:sz w:val="22"/>
          <w:szCs w:val="22"/>
        </w:rPr>
      </w:pPr>
      <w:r w:rsidRPr="00FD7CCB">
        <w:rPr>
          <w:sz w:val="22"/>
          <w:szCs w:val="22"/>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FD7CCB" w:rsidRPr="00FD7CCB" w:rsidRDefault="00FD7CCB" w:rsidP="00FD7CCB">
      <w:pPr>
        <w:pStyle w:val="NormalWeb"/>
        <w:rPr>
          <w:sz w:val="22"/>
          <w:szCs w:val="22"/>
        </w:rPr>
      </w:pPr>
      <w:r w:rsidRPr="00FD7CCB">
        <w:rPr>
          <w:sz w:val="22"/>
          <w:szCs w:val="22"/>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FD7CCB" w:rsidRPr="00FD7CCB" w:rsidRDefault="00FD7CCB" w:rsidP="00FD7CCB">
      <w:pPr>
        <w:pStyle w:val="NormalWeb"/>
        <w:rPr>
          <w:sz w:val="22"/>
          <w:szCs w:val="22"/>
        </w:rPr>
      </w:pPr>
      <w:r w:rsidRPr="00FD7CCB">
        <w:rPr>
          <w:sz w:val="22"/>
          <w:szCs w:val="22"/>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FD7CCB" w:rsidRPr="00FD7CCB" w:rsidRDefault="00FD7CCB" w:rsidP="00FD7CCB">
      <w:pPr>
        <w:pStyle w:val="NormalWeb"/>
        <w:rPr>
          <w:sz w:val="22"/>
          <w:szCs w:val="22"/>
        </w:rPr>
      </w:pPr>
      <w:r w:rsidRPr="00FD7CCB">
        <w:rPr>
          <w:sz w:val="22"/>
          <w:szCs w:val="22"/>
        </w:rPr>
        <w:t xml:space="preserve">(b) </w:t>
      </w:r>
      <w:r w:rsidRPr="00FD7CCB">
        <w:rPr>
          <w:i/>
          <w:iCs/>
          <w:sz w:val="22"/>
          <w:szCs w:val="22"/>
        </w:rPr>
        <w:t>Area sources that become major sources.</w:t>
      </w:r>
      <w:r w:rsidRPr="00FD7CCB">
        <w:rPr>
          <w:sz w:val="22"/>
          <w:szCs w:val="22"/>
        </w:rPr>
        <w:t xml:space="preserve"> If you have an area source that increases its emissions or its potential to emit such that it becomes a major source of HAP, the compliance dates in paragraphs (b)(1) and (2) of this section apply to you.</w:t>
      </w:r>
    </w:p>
    <w:p w:rsidR="00FD7CCB" w:rsidRPr="00FD7CCB" w:rsidRDefault="00FD7CCB" w:rsidP="00FD7CCB">
      <w:pPr>
        <w:pStyle w:val="NormalWeb"/>
        <w:rPr>
          <w:sz w:val="22"/>
          <w:szCs w:val="22"/>
        </w:rPr>
      </w:pPr>
      <w:r w:rsidRPr="00FD7CCB">
        <w:rPr>
          <w:sz w:val="22"/>
          <w:szCs w:val="22"/>
        </w:rPr>
        <w:t xml:space="preserve">(1) Any stationary RICE for which construction or reconstruction is commenced after the date when your area source becomes a major source of HAP must </w:t>
      </w:r>
      <w:proofErr w:type="gramStart"/>
      <w:r w:rsidRPr="00FD7CCB">
        <w:rPr>
          <w:sz w:val="22"/>
          <w:szCs w:val="22"/>
        </w:rPr>
        <w:t>be in compliance with</w:t>
      </w:r>
      <w:proofErr w:type="gramEnd"/>
      <w:r w:rsidRPr="00FD7CCB">
        <w:rPr>
          <w:sz w:val="22"/>
          <w:szCs w:val="22"/>
        </w:rPr>
        <w:t xml:space="preserve"> this subpart upon startup of your affected source.</w:t>
      </w:r>
    </w:p>
    <w:p w:rsidR="00FD7CCB" w:rsidRPr="00FD7CCB" w:rsidRDefault="00FD7CCB" w:rsidP="00FD7CCB">
      <w:pPr>
        <w:pStyle w:val="NormalWeb"/>
        <w:rPr>
          <w:sz w:val="22"/>
          <w:szCs w:val="22"/>
        </w:rPr>
      </w:pPr>
      <w:r w:rsidRPr="00FD7CCB">
        <w:rPr>
          <w:sz w:val="22"/>
          <w:szCs w:val="22"/>
        </w:rPr>
        <w:t xml:space="preserve">(2) Any stationary RICE for which construction or reconstruction is commenced before your area source becomes a major source of HAP must </w:t>
      </w:r>
      <w:proofErr w:type="gramStart"/>
      <w:r w:rsidRPr="00FD7CCB">
        <w:rPr>
          <w:sz w:val="22"/>
          <w:szCs w:val="22"/>
        </w:rPr>
        <w:t>be in compliance with</w:t>
      </w:r>
      <w:proofErr w:type="gramEnd"/>
      <w:r w:rsidRPr="00FD7CCB">
        <w:rPr>
          <w:sz w:val="22"/>
          <w:szCs w:val="22"/>
        </w:rPr>
        <w:t xml:space="preserve"> the provisions of this subpart that are applicable to RICE located at major sources within 3 years after your area source becomes a major source of HAP.</w:t>
      </w:r>
    </w:p>
    <w:p w:rsidR="00FD7CCB" w:rsidRPr="00FD7CCB" w:rsidRDefault="00FD7CCB" w:rsidP="00FD7CCB">
      <w:pPr>
        <w:pStyle w:val="NormalWeb"/>
        <w:rPr>
          <w:sz w:val="22"/>
          <w:szCs w:val="22"/>
        </w:rPr>
      </w:pPr>
      <w:r w:rsidRPr="00FD7CCB">
        <w:rPr>
          <w:sz w:val="22"/>
          <w:szCs w:val="22"/>
        </w:rPr>
        <w:t>(c) If you own or operate an affected source, you must meet the applicable notification requirements in §63.6645 and in 40 CFR part 63, subpart A.</w:t>
      </w:r>
    </w:p>
    <w:p w:rsidR="00FD7CCB" w:rsidRPr="00FD7CCB" w:rsidRDefault="00FD7CCB" w:rsidP="00FD7CCB">
      <w:pPr>
        <w:pStyle w:val="cita"/>
        <w:rPr>
          <w:sz w:val="22"/>
          <w:szCs w:val="22"/>
        </w:rPr>
      </w:pPr>
      <w:r w:rsidRPr="00FD7CCB">
        <w:rPr>
          <w:sz w:val="22"/>
          <w:szCs w:val="22"/>
        </w:rPr>
        <w:lastRenderedPageBreak/>
        <w:t>[69 FR 33506, June 15, 2004, as amended at 73 FR 3604, Jan. 18, 2008; 75 FR 9675, Mar. 3, 2010; 75 FR 51589, Aug. 20, 2010; 78 FR 6701, Jan. 30, 2013]</w:t>
      </w:r>
    </w:p>
    <w:p w:rsidR="00FD7CCB" w:rsidRPr="00FD7CCB" w:rsidRDefault="00FD7CCB" w:rsidP="00FD7CCB">
      <w:pPr>
        <w:pStyle w:val="Heading2"/>
        <w:rPr>
          <w:rFonts w:ascii="Times New Roman" w:hAnsi="Times New Roman" w:cs="Times New Roman"/>
          <w:smallCaps/>
          <w:sz w:val="22"/>
          <w:szCs w:val="22"/>
        </w:rPr>
      </w:pPr>
      <w:bookmarkStart w:id="56" w:name="sg40.15.63_16595.sg1"/>
      <w:bookmarkEnd w:id="56"/>
      <w:r w:rsidRPr="00FD7CCB">
        <w:rPr>
          <w:rFonts w:ascii="Times New Roman" w:hAnsi="Times New Roman" w:cs="Times New Roman"/>
          <w:smallCaps/>
          <w:sz w:val="22"/>
          <w:szCs w:val="22"/>
        </w:rPr>
        <w:t>Emission and Operating Limitations</w:t>
      </w:r>
    </w:p>
    <w:p w:rsidR="00FD7CCB" w:rsidRPr="00FD7CCB" w:rsidRDefault="00FD7CCB" w:rsidP="00FD7CCB">
      <w:pPr>
        <w:pStyle w:val="Heading2"/>
        <w:rPr>
          <w:rFonts w:ascii="Times New Roman" w:hAnsi="Times New Roman" w:cs="Times New Roman"/>
          <w:sz w:val="22"/>
          <w:szCs w:val="22"/>
        </w:rPr>
      </w:pPr>
      <w:bookmarkStart w:id="57" w:name="se40.15.63_16600"/>
      <w:bookmarkEnd w:id="57"/>
      <w:r w:rsidRPr="00FD7CCB">
        <w:rPr>
          <w:rFonts w:ascii="Times New Roman" w:hAnsi="Times New Roman" w:cs="Times New Roman"/>
          <w:sz w:val="22"/>
          <w:szCs w:val="22"/>
        </w:rPr>
        <w:t>§63.6600   What emission limitations and operating limitations must I meet if I own or operate a stationary RICE with a site rating of more than 500 brake HP located at a major source of HAP emissions?</w:t>
      </w:r>
    </w:p>
    <w:p w:rsidR="00FD7CCB" w:rsidRPr="00FD7CCB" w:rsidRDefault="00FD7CCB" w:rsidP="00FD7CCB">
      <w:pPr>
        <w:pStyle w:val="NormalWeb"/>
        <w:rPr>
          <w:sz w:val="22"/>
          <w:szCs w:val="22"/>
        </w:rPr>
      </w:pPr>
      <w:r w:rsidRPr="00FD7CCB">
        <w:rPr>
          <w:sz w:val="22"/>
          <w:szCs w:val="22"/>
        </w:rPr>
        <w:t>Compliance with the numerical emission limitations established in this subpart is based on the results of testing the average of three 1-hour runs using the testing requirements and procedures in §63.6620 and Table 4 to this subpart.</w:t>
      </w:r>
    </w:p>
    <w:p w:rsidR="00FD7CCB" w:rsidRPr="00FD7CCB" w:rsidRDefault="00FD7CCB" w:rsidP="00FD7CCB">
      <w:pPr>
        <w:pStyle w:val="NormalWeb"/>
        <w:rPr>
          <w:sz w:val="22"/>
          <w:szCs w:val="22"/>
        </w:rPr>
      </w:pPr>
      <w:r w:rsidRPr="00FD7CCB">
        <w:rPr>
          <w:sz w:val="22"/>
          <w:szCs w:val="22"/>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FD7CCB" w:rsidRPr="00FD7CCB" w:rsidRDefault="00FD7CCB" w:rsidP="00FD7CCB">
      <w:pPr>
        <w:pStyle w:val="NormalWeb"/>
        <w:rPr>
          <w:sz w:val="22"/>
          <w:szCs w:val="22"/>
        </w:rPr>
      </w:pPr>
      <w:r w:rsidRPr="00FD7CCB">
        <w:rPr>
          <w:sz w:val="22"/>
          <w:szCs w:val="22"/>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FD7CCB" w:rsidRPr="00FD7CCB" w:rsidRDefault="00FD7CCB" w:rsidP="00FD7CCB">
      <w:pPr>
        <w:pStyle w:val="NormalWeb"/>
        <w:rPr>
          <w:sz w:val="22"/>
          <w:szCs w:val="22"/>
        </w:rPr>
      </w:pPr>
      <w:r w:rsidRPr="00FD7CCB">
        <w:rPr>
          <w:sz w:val="22"/>
          <w:szCs w:val="22"/>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FD7CCB" w:rsidRPr="00FD7CCB" w:rsidRDefault="00FD7CCB" w:rsidP="00FD7CCB">
      <w:pPr>
        <w:pStyle w:val="NormalWeb"/>
        <w:rPr>
          <w:sz w:val="22"/>
          <w:szCs w:val="22"/>
        </w:rPr>
      </w:pPr>
      <w:r w:rsidRPr="00FD7CCB">
        <w:rPr>
          <w:sz w:val="22"/>
          <w:szCs w:val="22"/>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FD7CCB" w:rsidRPr="00FD7CCB" w:rsidRDefault="00FD7CCB" w:rsidP="00FD7CCB">
      <w:pPr>
        <w:pStyle w:val="cita"/>
        <w:rPr>
          <w:sz w:val="22"/>
          <w:szCs w:val="22"/>
        </w:rPr>
      </w:pPr>
      <w:r w:rsidRPr="00FD7CCB">
        <w:rPr>
          <w:sz w:val="22"/>
          <w:szCs w:val="22"/>
        </w:rPr>
        <w:t>[73 FR 3605, Jan. 18, 2008, as amended at 75 FR 9675, Mar. 3, 2010]</w:t>
      </w:r>
    </w:p>
    <w:p w:rsidR="00FD7CCB" w:rsidRPr="00FD7CCB" w:rsidRDefault="00FD7CCB" w:rsidP="00FD7CCB">
      <w:pPr>
        <w:pStyle w:val="Heading2"/>
        <w:rPr>
          <w:rFonts w:ascii="Times New Roman" w:hAnsi="Times New Roman" w:cs="Times New Roman"/>
          <w:sz w:val="22"/>
          <w:szCs w:val="22"/>
        </w:rPr>
      </w:pPr>
      <w:bookmarkStart w:id="58" w:name="se40.15.63_16601"/>
      <w:bookmarkEnd w:id="58"/>
      <w:r w:rsidRPr="00FD7CCB">
        <w:rPr>
          <w:rFonts w:ascii="Times New Roman" w:hAnsi="Times New Roman" w:cs="Times New Roman"/>
          <w:sz w:val="22"/>
          <w:szCs w:val="22"/>
        </w:rPr>
        <w:t>§63.6601   What emission limitations must I meet if I own or operate a new or reconstructed 4SLB stationary RICE with a site rating of greater than or equal to 250 brake HP and less than or equal to 500 brake HP located at a major source of HAP emissions?</w:t>
      </w:r>
    </w:p>
    <w:p w:rsidR="00FD7CCB" w:rsidRPr="00FD7CCB" w:rsidRDefault="00FD7CCB" w:rsidP="00FD7CCB">
      <w:pPr>
        <w:pStyle w:val="NormalWeb"/>
        <w:rPr>
          <w:sz w:val="22"/>
          <w:szCs w:val="22"/>
        </w:rPr>
      </w:pPr>
      <w:r w:rsidRPr="00FD7CCB">
        <w:rPr>
          <w:sz w:val="22"/>
          <w:szCs w:val="22"/>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FD7CCB" w:rsidRPr="00FD7CCB" w:rsidRDefault="00FD7CCB" w:rsidP="00FD7CCB">
      <w:pPr>
        <w:pStyle w:val="cita"/>
        <w:rPr>
          <w:sz w:val="22"/>
          <w:szCs w:val="22"/>
        </w:rPr>
      </w:pPr>
      <w:r w:rsidRPr="00FD7CCB">
        <w:rPr>
          <w:sz w:val="22"/>
          <w:szCs w:val="22"/>
        </w:rPr>
        <w:t>[73 FR 3605, Jan. 18, 2008, as amended at 75 FR 9675, Mar. 3, 2010; 75 FR 51589, Aug. 20, 2010]</w:t>
      </w:r>
    </w:p>
    <w:p w:rsidR="00FD7CCB" w:rsidRPr="00FD7CCB" w:rsidRDefault="00FD7CCB" w:rsidP="00FD7CCB">
      <w:pPr>
        <w:pStyle w:val="Heading2"/>
        <w:rPr>
          <w:rFonts w:ascii="Times New Roman" w:hAnsi="Times New Roman" w:cs="Times New Roman"/>
          <w:sz w:val="22"/>
          <w:szCs w:val="22"/>
        </w:rPr>
      </w:pPr>
      <w:bookmarkStart w:id="59" w:name="se40.15.63_16602"/>
      <w:bookmarkEnd w:id="59"/>
      <w:r w:rsidRPr="00FD7CCB">
        <w:rPr>
          <w:rFonts w:ascii="Times New Roman" w:hAnsi="Times New Roman" w:cs="Times New Roman"/>
          <w:sz w:val="22"/>
          <w:szCs w:val="22"/>
        </w:rPr>
        <w:lastRenderedPageBreak/>
        <w:t>§63.6602   What emission limitations and other requirements must I meet if I own or operate an existing stationary RICE with a site rating of equal to or less than 500 brake HP located at a major source of HAP emissions?</w:t>
      </w:r>
    </w:p>
    <w:p w:rsidR="00FD7CCB" w:rsidRPr="00FD7CCB" w:rsidRDefault="00FD7CCB" w:rsidP="00FD7CCB">
      <w:pPr>
        <w:pStyle w:val="NormalWeb"/>
        <w:rPr>
          <w:sz w:val="22"/>
          <w:szCs w:val="22"/>
        </w:rPr>
      </w:pPr>
      <w:r w:rsidRPr="00FD7CCB">
        <w:rPr>
          <w:sz w:val="22"/>
          <w:szCs w:val="22"/>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FD7CCB" w:rsidRPr="00FD7CCB" w:rsidRDefault="00FD7CCB" w:rsidP="00FD7CCB">
      <w:pPr>
        <w:pStyle w:val="cita"/>
        <w:rPr>
          <w:sz w:val="22"/>
          <w:szCs w:val="22"/>
        </w:rPr>
      </w:pPr>
      <w:r w:rsidRPr="00FD7CCB">
        <w:rPr>
          <w:sz w:val="22"/>
          <w:szCs w:val="22"/>
        </w:rPr>
        <w:t>[78 FR 6701, Jan. 30, 2013]</w:t>
      </w:r>
    </w:p>
    <w:p w:rsidR="00FD7CCB" w:rsidRPr="00FD7CCB" w:rsidRDefault="00FD7CCB" w:rsidP="00FD7CCB">
      <w:pPr>
        <w:pStyle w:val="Heading2"/>
        <w:rPr>
          <w:rFonts w:ascii="Times New Roman" w:hAnsi="Times New Roman" w:cs="Times New Roman"/>
          <w:sz w:val="22"/>
          <w:szCs w:val="22"/>
        </w:rPr>
      </w:pPr>
      <w:bookmarkStart w:id="60" w:name="se40.15.63_16603"/>
      <w:bookmarkEnd w:id="60"/>
      <w:r w:rsidRPr="00FD7CCB">
        <w:rPr>
          <w:rFonts w:ascii="Times New Roman" w:hAnsi="Times New Roman" w:cs="Times New Roman"/>
          <w:sz w:val="22"/>
          <w:szCs w:val="22"/>
        </w:rPr>
        <w:t>§63.6603   What emission limitations, operating limitations, and other requirements must I meet if I own or operate an existing stationary RICE located at an area source of HAP emissions?</w:t>
      </w:r>
    </w:p>
    <w:p w:rsidR="00FD7CCB" w:rsidRPr="00FD7CCB" w:rsidRDefault="00FD7CCB" w:rsidP="00FD7CCB">
      <w:pPr>
        <w:pStyle w:val="NormalWeb"/>
        <w:rPr>
          <w:sz w:val="22"/>
          <w:szCs w:val="22"/>
        </w:rPr>
      </w:pPr>
      <w:r w:rsidRPr="00FD7CCB">
        <w:rPr>
          <w:sz w:val="22"/>
          <w:szCs w:val="22"/>
        </w:rPr>
        <w:t>Compliance with the numerical emission limitations established in this subpart is based on the results of testing the average of three 1-hour runs using the testing requirements and procedures in §63.6620 and Table 4 to this subpart.</w:t>
      </w:r>
    </w:p>
    <w:p w:rsidR="00FD7CCB" w:rsidRPr="00FD7CCB" w:rsidRDefault="00FD7CCB" w:rsidP="00FD7CCB">
      <w:pPr>
        <w:pStyle w:val="NormalWeb"/>
        <w:rPr>
          <w:sz w:val="22"/>
          <w:szCs w:val="22"/>
        </w:rPr>
      </w:pPr>
      <w:r w:rsidRPr="00FD7CCB">
        <w:rPr>
          <w:sz w:val="22"/>
          <w:szCs w:val="22"/>
        </w:rPr>
        <w:t>(a) If you own or operate an existing stationary RICE located at an area source of HAP emissions, you must comply with the requirements in Table 2d to this subpart and the operating limitations in Table 2b to this subpart that apply to you.</w:t>
      </w:r>
    </w:p>
    <w:p w:rsidR="00FD7CCB" w:rsidRPr="00FD7CCB" w:rsidRDefault="00FD7CCB" w:rsidP="00FD7CCB">
      <w:pPr>
        <w:pStyle w:val="NormalWeb"/>
        <w:rPr>
          <w:sz w:val="22"/>
          <w:szCs w:val="22"/>
        </w:rPr>
      </w:pPr>
      <w:r w:rsidRPr="00FD7CCB">
        <w:rPr>
          <w:sz w:val="22"/>
          <w:szCs w:val="22"/>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FD7CCB" w:rsidRPr="00FD7CCB" w:rsidRDefault="00FD7CCB" w:rsidP="00FD7CCB">
      <w:pPr>
        <w:pStyle w:val="NormalWeb"/>
        <w:rPr>
          <w:sz w:val="22"/>
          <w:szCs w:val="22"/>
        </w:rPr>
      </w:pPr>
      <w:r w:rsidRPr="00FD7CCB">
        <w:rPr>
          <w:sz w:val="22"/>
          <w:szCs w:val="22"/>
        </w:rPr>
        <w:t xml:space="preserve">(1) The area source </w:t>
      </w:r>
      <w:proofErr w:type="gramStart"/>
      <w:r w:rsidRPr="00FD7CCB">
        <w:rPr>
          <w:sz w:val="22"/>
          <w:szCs w:val="22"/>
        </w:rPr>
        <w:t>is located in</w:t>
      </w:r>
      <w:proofErr w:type="gramEnd"/>
      <w:r w:rsidRPr="00FD7CCB">
        <w:rPr>
          <w:sz w:val="22"/>
          <w:szCs w:val="22"/>
        </w:rPr>
        <w:t xml:space="preserve"> an area of Alaska that is not accessible by the Federal Aid Highway System (FAHS).</w:t>
      </w:r>
    </w:p>
    <w:p w:rsidR="00FD7CCB" w:rsidRPr="00FD7CCB" w:rsidRDefault="00FD7CCB" w:rsidP="00FD7CCB">
      <w:pPr>
        <w:pStyle w:val="NormalWeb"/>
        <w:rPr>
          <w:sz w:val="22"/>
          <w:szCs w:val="22"/>
        </w:rPr>
      </w:pPr>
      <w:r w:rsidRPr="00FD7CCB">
        <w:rPr>
          <w:sz w:val="22"/>
          <w:szCs w:val="22"/>
        </w:rPr>
        <w:t>(2) The stationary RICE is located at an area source that meets paragraphs (b)(2)(i), (ii), and (iii) of this section.</w:t>
      </w:r>
    </w:p>
    <w:p w:rsidR="00FD7CCB" w:rsidRPr="00FD7CCB" w:rsidRDefault="00FD7CCB" w:rsidP="00FD7CCB">
      <w:pPr>
        <w:pStyle w:val="NormalWeb"/>
        <w:rPr>
          <w:sz w:val="22"/>
          <w:szCs w:val="22"/>
        </w:rPr>
      </w:pPr>
      <w:r w:rsidRPr="00FD7CCB">
        <w:rPr>
          <w:sz w:val="22"/>
          <w:szCs w:val="22"/>
        </w:rPr>
        <w:t>(i) The only connection to the FAHS is through the Alaska Marine Highway System (AMHS), or the stationary RICE operation is within an isolated grid in Alaska that is not connected to the statewide electrical grid referred to as the Alaska Railbelt Grid.</w:t>
      </w:r>
    </w:p>
    <w:p w:rsidR="00FD7CCB" w:rsidRPr="00FD7CCB" w:rsidRDefault="00FD7CCB" w:rsidP="00FD7CCB">
      <w:pPr>
        <w:pStyle w:val="NormalWeb"/>
        <w:rPr>
          <w:sz w:val="22"/>
          <w:szCs w:val="22"/>
        </w:rPr>
      </w:pPr>
      <w:r w:rsidRPr="00FD7CCB">
        <w:rPr>
          <w:sz w:val="22"/>
          <w:szCs w:val="22"/>
        </w:rPr>
        <w:t>(ii) At least 10 percent of the power generated by the stationary RICE on an annual basis is used for residential purposes.</w:t>
      </w:r>
    </w:p>
    <w:p w:rsidR="00FD7CCB" w:rsidRPr="00FD7CCB" w:rsidRDefault="00FD7CCB" w:rsidP="00FD7CCB">
      <w:pPr>
        <w:pStyle w:val="NormalWeb"/>
        <w:rPr>
          <w:sz w:val="22"/>
          <w:szCs w:val="22"/>
        </w:rPr>
      </w:pPr>
      <w:r w:rsidRPr="00FD7CCB">
        <w:rPr>
          <w:sz w:val="22"/>
          <w:szCs w:val="22"/>
        </w:rPr>
        <w:t>(iii) The generating capacity of the area source is less than 12 megawatts, or the stationary RICE is used exclusively for backup power for renewable energy.</w:t>
      </w:r>
    </w:p>
    <w:p w:rsidR="00FD7CCB" w:rsidRPr="00FD7CCB" w:rsidRDefault="00FD7CCB" w:rsidP="00FD7CCB">
      <w:pPr>
        <w:pStyle w:val="NormalWeb"/>
        <w:rPr>
          <w:sz w:val="22"/>
          <w:szCs w:val="22"/>
        </w:rPr>
      </w:pPr>
      <w:r w:rsidRPr="00FD7CCB">
        <w:rPr>
          <w:sz w:val="22"/>
          <w:szCs w:val="22"/>
        </w:rPr>
        <w:t xml:space="preserve">(c) If you own or operate an existing stationary non-emergency CI RICE with a site rating of more than 300 HP located on an offshore vessel that is an area source of HAP and is a nonroad vehicle that is an Outer </w:t>
      </w:r>
      <w:r w:rsidRPr="00FD7CCB">
        <w:rPr>
          <w:sz w:val="22"/>
          <w:szCs w:val="22"/>
        </w:rPr>
        <w:lastRenderedPageBreak/>
        <w:t xml:space="preserve">Continental Shelf (OCS) source as defined in 40 CFR 55.2, you do not have to meet the numerical CO emission limitations specified in Table 2d of this subpart. You must meet </w:t>
      </w:r>
      <w:proofErr w:type="gramStart"/>
      <w:r w:rsidRPr="00FD7CCB">
        <w:rPr>
          <w:sz w:val="22"/>
          <w:szCs w:val="22"/>
        </w:rPr>
        <w:t>all of</w:t>
      </w:r>
      <w:proofErr w:type="gramEnd"/>
      <w:r w:rsidRPr="00FD7CCB">
        <w:rPr>
          <w:sz w:val="22"/>
          <w:szCs w:val="22"/>
        </w:rPr>
        <w:t xml:space="preserve"> the following management practices:</w:t>
      </w:r>
    </w:p>
    <w:p w:rsidR="00FD7CCB" w:rsidRPr="00FD7CCB" w:rsidRDefault="00FD7CCB" w:rsidP="00FD7CCB">
      <w:pPr>
        <w:pStyle w:val="NormalWeb"/>
        <w:rPr>
          <w:sz w:val="22"/>
          <w:szCs w:val="22"/>
        </w:rPr>
      </w:pPr>
      <w:r w:rsidRPr="00FD7CCB">
        <w:rPr>
          <w:sz w:val="22"/>
          <w:szCs w:val="22"/>
        </w:rPr>
        <w:t xml:space="preserve">(1) Change oil every 1,000 hours of operation or annually, whichever comes first. Sources have the option to utilize an oil analysis program as described in §63.6625(i) </w:t>
      </w:r>
      <w:proofErr w:type="gramStart"/>
      <w:r w:rsidRPr="00FD7CCB">
        <w:rPr>
          <w:sz w:val="22"/>
          <w:szCs w:val="22"/>
        </w:rPr>
        <w:t>in order to</w:t>
      </w:r>
      <w:proofErr w:type="gramEnd"/>
      <w:r w:rsidRPr="00FD7CCB">
        <w:rPr>
          <w:sz w:val="22"/>
          <w:szCs w:val="22"/>
        </w:rPr>
        <w:t xml:space="preserve"> extend the specified oil change requirement.</w:t>
      </w:r>
    </w:p>
    <w:p w:rsidR="00FD7CCB" w:rsidRPr="00FD7CCB" w:rsidRDefault="00FD7CCB" w:rsidP="00FD7CCB">
      <w:pPr>
        <w:pStyle w:val="NormalWeb"/>
        <w:rPr>
          <w:sz w:val="22"/>
          <w:szCs w:val="22"/>
        </w:rPr>
      </w:pPr>
      <w:r w:rsidRPr="00FD7CCB">
        <w:rPr>
          <w:sz w:val="22"/>
          <w:szCs w:val="22"/>
        </w:rPr>
        <w:t>(2) Inspect and clean air filters every 750 hours of operation or annually, whichever comes first, and replace as necessary.</w:t>
      </w:r>
    </w:p>
    <w:p w:rsidR="00FD7CCB" w:rsidRPr="00FD7CCB" w:rsidRDefault="00FD7CCB" w:rsidP="00FD7CCB">
      <w:pPr>
        <w:pStyle w:val="NormalWeb"/>
        <w:rPr>
          <w:sz w:val="22"/>
          <w:szCs w:val="22"/>
        </w:rPr>
      </w:pPr>
      <w:r w:rsidRPr="00FD7CCB">
        <w:rPr>
          <w:sz w:val="22"/>
          <w:szCs w:val="22"/>
        </w:rPr>
        <w:t>(3) Inspect fuel filters and belts, if installed, every 750 hours of operation or annually, whichever comes first, and replace as necessary.</w:t>
      </w:r>
    </w:p>
    <w:p w:rsidR="00FD7CCB" w:rsidRPr="00FD7CCB" w:rsidRDefault="00FD7CCB" w:rsidP="00FD7CCB">
      <w:pPr>
        <w:pStyle w:val="NormalWeb"/>
        <w:rPr>
          <w:sz w:val="22"/>
          <w:szCs w:val="22"/>
        </w:rPr>
      </w:pPr>
      <w:r w:rsidRPr="00FD7CCB">
        <w:rPr>
          <w:sz w:val="22"/>
          <w:szCs w:val="22"/>
        </w:rPr>
        <w:t>(4) Inspect all flexible hoses every 1,000 hours of operation or annually, whichever comes first, and replace as necessary.</w:t>
      </w:r>
    </w:p>
    <w:p w:rsidR="00FD7CCB" w:rsidRPr="00FD7CCB" w:rsidRDefault="00FD7CCB" w:rsidP="00FD7CCB">
      <w:pPr>
        <w:pStyle w:val="NormalWeb"/>
        <w:rPr>
          <w:sz w:val="22"/>
          <w:szCs w:val="22"/>
        </w:rPr>
      </w:pPr>
      <w:r w:rsidRPr="00FD7CCB">
        <w:rPr>
          <w:sz w:val="22"/>
          <w:szCs w:val="22"/>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rsidR="00FD7CCB" w:rsidRPr="00FD7CCB" w:rsidRDefault="00FD7CCB" w:rsidP="00FD7CCB">
      <w:pPr>
        <w:pStyle w:val="NormalWeb"/>
        <w:rPr>
          <w:sz w:val="22"/>
          <w:szCs w:val="22"/>
        </w:rPr>
      </w:pPr>
      <w:r w:rsidRPr="00FD7CCB">
        <w:rPr>
          <w:sz w:val="22"/>
          <w:szCs w:val="22"/>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FD7CCB" w:rsidRPr="00FD7CCB" w:rsidRDefault="00FD7CCB" w:rsidP="00FD7CCB">
      <w:pPr>
        <w:pStyle w:val="NormalWeb"/>
        <w:rPr>
          <w:sz w:val="22"/>
          <w:szCs w:val="22"/>
        </w:rPr>
      </w:pPr>
      <w:r w:rsidRPr="00FD7CCB">
        <w:rPr>
          <w:sz w:val="22"/>
          <w:szCs w:val="22"/>
        </w:rPr>
        <w:t xml:space="preserve">(f) An existing non-emergency SI 4SLB and 4SRB stationary RICE with a site rating of more than 500 HP located at area sources of HAP must meet the definition of remote stationary RICE in §63.6675 on the initial compliance date for the engine, October 19, 2013, </w:t>
      </w:r>
      <w:proofErr w:type="gramStart"/>
      <w:r w:rsidRPr="00FD7CCB">
        <w:rPr>
          <w:sz w:val="22"/>
          <w:szCs w:val="22"/>
        </w:rPr>
        <w:t>in order to</w:t>
      </w:r>
      <w:proofErr w:type="gramEnd"/>
      <w:r w:rsidRPr="00FD7CCB">
        <w:rPr>
          <w:sz w:val="22"/>
          <w:szCs w:val="22"/>
        </w:rPr>
        <w:t xml:space="preserve">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w:t>
      </w:r>
      <w:proofErr w:type="gramStart"/>
      <w:r w:rsidRPr="00FD7CCB">
        <w:rPr>
          <w:sz w:val="22"/>
          <w:szCs w:val="22"/>
        </w:rPr>
        <w:t>all of</w:t>
      </w:r>
      <w:proofErr w:type="gramEnd"/>
      <w:r w:rsidRPr="00FD7CCB">
        <w:rPr>
          <w:sz w:val="22"/>
          <w:szCs w:val="22"/>
        </w:rPr>
        <w:t xml:space="preserve"> the requirements for existing non-emergency SI 4SLB and 4SRB stationary RICE with a site rating of more than 500 HP located at area sources of HAP that are not remote stationary RICE within 1 year of the evaluation.</w:t>
      </w:r>
    </w:p>
    <w:p w:rsidR="00FD7CCB" w:rsidRPr="00FD7CCB" w:rsidRDefault="00FD7CCB" w:rsidP="00FD7CCB">
      <w:pPr>
        <w:pStyle w:val="cita"/>
        <w:rPr>
          <w:sz w:val="22"/>
          <w:szCs w:val="22"/>
        </w:rPr>
      </w:pPr>
      <w:r w:rsidRPr="00FD7CCB">
        <w:rPr>
          <w:sz w:val="22"/>
          <w:szCs w:val="22"/>
        </w:rPr>
        <w:lastRenderedPageBreak/>
        <w:t>[75 FR 9675, Mar. 3, 2010, as amended at 75 FR 51589, Aug. 20, 2010; 76 FR 12866, Mar. 9, 2011; 78 FR 6701, Jan. 30, 2013]</w:t>
      </w:r>
    </w:p>
    <w:p w:rsidR="00FD7CCB" w:rsidRPr="00FD7CCB" w:rsidRDefault="00FD7CCB" w:rsidP="00FD7CCB">
      <w:pPr>
        <w:pStyle w:val="Heading2"/>
        <w:rPr>
          <w:rFonts w:ascii="Times New Roman" w:hAnsi="Times New Roman" w:cs="Times New Roman"/>
          <w:sz w:val="22"/>
          <w:szCs w:val="22"/>
        </w:rPr>
      </w:pPr>
      <w:bookmarkStart w:id="61" w:name="se40.15.63_16604"/>
      <w:bookmarkEnd w:id="61"/>
      <w:r w:rsidRPr="00FD7CCB">
        <w:rPr>
          <w:rFonts w:ascii="Times New Roman" w:hAnsi="Times New Roman" w:cs="Times New Roman"/>
          <w:sz w:val="22"/>
          <w:szCs w:val="22"/>
        </w:rPr>
        <w:t>§63.6604   What fuel requirements must I meet if I own or operate a stationary CI RICE?</w:t>
      </w:r>
    </w:p>
    <w:p w:rsidR="00FD7CCB" w:rsidRPr="00FD7CCB" w:rsidRDefault="00FD7CCB" w:rsidP="00FD7CCB">
      <w:pPr>
        <w:pStyle w:val="NormalWeb"/>
        <w:rPr>
          <w:sz w:val="22"/>
          <w:szCs w:val="22"/>
        </w:rPr>
      </w:pPr>
      <w:r w:rsidRPr="00FD7CCB">
        <w:rPr>
          <w:sz w:val="22"/>
          <w:szCs w:val="22"/>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FD7CCB" w:rsidRPr="00FD7CCB" w:rsidRDefault="00FD7CCB" w:rsidP="00FD7CCB">
      <w:pPr>
        <w:pStyle w:val="NormalWeb"/>
        <w:rPr>
          <w:sz w:val="22"/>
          <w:szCs w:val="22"/>
        </w:rPr>
      </w:pPr>
      <w:r w:rsidRPr="00FD7CCB">
        <w:rPr>
          <w:sz w:val="22"/>
          <w:szCs w:val="22"/>
        </w:rPr>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the requirements in 40 CFR 80.510(b) for nonroad diesel fuel, except that any existing diesel fuel purchased (or otherwise obtained) prior to January 1, 2015, may be used until depleted.</w:t>
      </w:r>
    </w:p>
    <w:p w:rsidR="00FD7CCB" w:rsidRPr="00FD7CCB" w:rsidRDefault="00FD7CCB" w:rsidP="00FD7CCB">
      <w:pPr>
        <w:pStyle w:val="NormalWeb"/>
        <w:rPr>
          <w:sz w:val="22"/>
          <w:szCs w:val="22"/>
        </w:rPr>
      </w:pPr>
      <w:r w:rsidRPr="00FD7CCB">
        <w:rPr>
          <w:sz w:val="22"/>
          <w:szCs w:val="22"/>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rsidR="00FD7CCB" w:rsidRPr="00FD7CCB" w:rsidRDefault="00FD7CCB" w:rsidP="00FD7CCB">
      <w:pPr>
        <w:pStyle w:val="NormalWeb"/>
        <w:rPr>
          <w:sz w:val="22"/>
          <w:szCs w:val="22"/>
        </w:rPr>
      </w:pPr>
      <w:r w:rsidRPr="00FD7CCB">
        <w:rPr>
          <w:sz w:val="22"/>
          <w:szCs w:val="22"/>
        </w:rPr>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rsidR="00FD7CCB" w:rsidRPr="00FD7CCB" w:rsidRDefault="00FD7CCB" w:rsidP="00FD7CCB">
      <w:pPr>
        <w:pStyle w:val="cita"/>
        <w:rPr>
          <w:sz w:val="22"/>
          <w:szCs w:val="22"/>
        </w:rPr>
      </w:pPr>
      <w:r w:rsidRPr="00FD7CCB">
        <w:rPr>
          <w:sz w:val="22"/>
          <w:szCs w:val="22"/>
        </w:rPr>
        <w:t>[78 FR 6702, Jan. 30, 2013]</w:t>
      </w:r>
    </w:p>
    <w:p w:rsidR="00FD7CCB" w:rsidRPr="00FD7CCB" w:rsidRDefault="00FD7CCB" w:rsidP="00FD7CCB">
      <w:pPr>
        <w:pStyle w:val="Heading2"/>
        <w:rPr>
          <w:rFonts w:ascii="Times New Roman" w:hAnsi="Times New Roman" w:cs="Times New Roman"/>
          <w:smallCaps/>
          <w:sz w:val="22"/>
          <w:szCs w:val="22"/>
        </w:rPr>
      </w:pPr>
      <w:bookmarkStart w:id="62" w:name="sg40.15.63_16604.sg2"/>
      <w:bookmarkEnd w:id="62"/>
      <w:r w:rsidRPr="00FD7CCB">
        <w:rPr>
          <w:rFonts w:ascii="Times New Roman" w:hAnsi="Times New Roman" w:cs="Times New Roman"/>
          <w:smallCaps/>
          <w:sz w:val="22"/>
          <w:szCs w:val="22"/>
        </w:rPr>
        <w:t>General Compliance Requirements</w:t>
      </w:r>
    </w:p>
    <w:p w:rsidR="00FD7CCB" w:rsidRPr="00FD7CCB" w:rsidRDefault="00FD7CCB" w:rsidP="00FD7CCB">
      <w:pPr>
        <w:pStyle w:val="Heading2"/>
        <w:rPr>
          <w:rFonts w:ascii="Times New Roman" w:hAnsi="Times New Roman" w:cs="Times New Roman"/>
          <w:sz w:val="22"/>
          <w:szCs w:val="22"/>
        </w:rPr>
      </w:pPr>
      <w:bookmarkStart w:id="63" w:name="se40.15.63_16605"/>
      <w:bookmarkEnd w:id="63"/>
      <w:r w:rsidRPr="00FD7CCB">
        <w:rPr>
          <w:rFonts w:ascii="Times New Roman" w:hAnsi="Times New Roman" w:cs="Times New Roman"/>
          <w:sz w:val="22"/>
          <w:szCs w:val="22"/>
        </w:rPr>
        <w:t>§63.6605   What are my general requirements for complying with this subpart?</w:t>
      </w:r>
    </w:p>
    <w:p w:rsidR="00FD7CCB" w:rsidRPr="00FD7CCB" w:rsidRDefault="00FD7CCB" w:rsidP="00FD7CCB">
      <w:pPr>
        <w:pStyle w:val="NormalWeb"/>
        <w:rPr>
          <w:sz w:val="22"/>
          <w:szCs w:val="22"/>
        </w:rPr>
      </w:pPr>
      <w:r w:rsidRPr="00FD7CCB">
        <w:rPr>
          <w:sz w:val="22"/>
          <w:szCs w:val="22"/>
        </w:rPr>
        <w:t xml:space="preserve">(a) You must </w:t>
      </w:r>
      <w:proofErr w:type="gramStart"/>
      <w:r w:rsidRPr="00FD7CCB">
        <w:rPr>
          <w:sz w:val="22"/>
          <w:szCs w:val="22"/>
        </w:rPr>
        <w:t>be in compliance with</w:t>
      </w:r>
      <w:proofErr w:type="gramEnd"/>
      <w:r w:rsidRPr="00FD7CCB">
        <w:rPr>
          <w:sz w:val="22"/>
          <w:szCs w:val="22"/>
        </w:rPr>
        <w:t xml:space="preserve"> the emission limitations, operating limitations, and other requirements in this subpart that apply to you at all times.</w:t>
      </w:r>
    </w:p>
    <w:p w:rsidR="00FD7CCB" w:rsidRPr="00FD7CCB" w:rsidRDefault="00FD7CCB" w:rsidP="00FD7CCB">
      <w:pPr>
        <w:pStyle w:val="NormalWeb"/>
        <w:rPr>
          <w:sz w:val="22"/>
          <w:szCs w:val="22"/>
        </w:rPr>
      </w:pPr>
      <w:r w:rsidRPr="00FD7CCB">
        <w:rPr>
          <w:sz w:val="22"/>
          <w:szCs w:val="22"/>
        </w:rPr>
        <w:t xml:space="preserve">(b) At all </w:t>
      </w:r>
      <w:proofErr w:type="gramStart"/>
      <w:r w:rsidRPr="00FD7CCB">
        <w:rPr>
          <w:sz w:val="22"/>
          <w:szCs w:val="22"/>
        </w:rPr>
        <w:t>times</w:t>
      </w:r>
      <w:proofErr w:type="gramEnd"/>
      <w:r w:rsidRPr="00FD7CCB">
        <w:rPr>
          <w:sz w:val="22"/>
          <w:szCs w:val="22"/>
        </w:rPr>
        <w:t xml:space="preserve">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FD7CCB" w:rsidRPr="00FD7CCB" w:rsidRDefault="00FD7CCB" w:rsidP="00FD7CCB">
      <w:pPr>
        <w:pStyle w:val="cita"/>
        <w:rPr>
          <w:sz w:val="22"/>
          <w:szCs w:val="22"/>
        </w:rPr>
      </w:pPr>
      <w:r w:rsidRPr="00FD7CCB">
        <w:rPr>
          <w:sz w:val="22"/>
          <w:szCs w:val="22"/>
        </w:rPr>
        <w:t>[75 FR 9675, Mar. 3, 2010, as amended at 78 FR 6702, Jan. 30, 2013]</w:t>
      </w:r>
    </w:p>
    <w:p w:rsidR="00FD7CCB" w:rsidRPr="00FD7CCB" w:rsidRDefault="00FD7CCB" w:rsidP="00FD7CCB">
      <w:pPr>
        <w:pStyle w:val="Heading2"/>
        <w:rPr>
          <w:rFonts w:ascii="Times New Roman" w:hAnsi="Times New Roman" w:cs="Times New Roman"/>
          <w:smallCaps/>
          <w:sz w:val="22"/>
          <w:szCs w:val="22"/>
        </w:rPr>
      </w:pPr>
      <w:bookmarkStart w:id="64" w:name="sg40.15.63_16605.sg3"/>
      <w:bookmarkEnd w:id="64"/>
      <w:r w:rsidRPr="00FD7CCB">
        <w:rPr>
          <w:rFonts w:ascii="Times New Roman" w:hAnsi="Times New Roman" w:cs="Times New Roman"/>
          <w:smallCaps/>
          <w:sz w:val="22"/>
          <w:szCs w:val="22"/>
        </w:rPr>
        <w:lastRenderedPageBreak/>
        <w:t>Testing and Initial Compliance Requirements</w:t>
      </w:r>
    </w:p>
    <w:p w:rsidR="00FD7CCB" w:rsidRPr="00FD7CCB" w:rsidRDefault="00FD7CCB" w:rsidP="00FD7CCB">
      <w:pPr>
        <w:pStyle w:val="Heading2"/>
        <w:rPr>
          <w:rFonts w:ascii="Times New Roman" w:hAnsi="Times New Roman" w:cs="Times New Roman"/>
          <w:sz w:val="22"/>
          <w:szCs w:val="22"/>
        </w:rPr>
      </w:pPr>
      <w:bookmarkStart w:id="65" w:name="se40.15.63_16610"/>
      <w:bookmarkEnd w:id="65"/>
      <w:r w:rsidRPr="00FD7CCB">
        <w:rPr>
          <w:rFonts w:ascii="Times New Roman" w:hAnsi="Times New Roman" w:cs="Times New Roman"/>
          <w:sz w:val="22"/>
          <w:szCs w:val="22"/>
        </w:rPr>
        <w:t>63.6610   By what date must I conduct the initial performance tests or other initial compliance demonstrations if I own or operate a stationary RICE with a site rating of more than 500 brake HP located at a major source of HAP emissions?</w:t>
      </w:r>
    </w:p>
    <w:p w:rsidR="00FD7CCB" w:rsidRPr="00FD7CCB" w:rsidRDefault="00FD7CCB" w:rsidP="00FD7CCB">
      <w:pPr>
        <w:pStyle w:val="NormalWeb"/>
        <w:rPr>
          <w:sz w:val="22"/>
          <w:szCs w:val="22"/>
        </w:rPr>
      </w:pPr>
      <w:r w:rsidRPr="00FD7CCB">
        <w:rPr>
          <w:sz w:val="22"/>
          <w:szCs w:val="22"/>
        </w:rPr>
        <w:t>If you own or operate a stationary RICE with a site rating of more than 500 brake HP located at a major source of HAP emissions you are subject to the requirements of this section.</w:t>
      </w:r>
    </w:p>
    <w:p w:rsidR="00FD7CCB" w:rsidRPr="00FD7CCB" w:rsidRDefault="00FD7CCB" w:rsidP="00FD7CCB">
      <w:pPr>
        <w:pStyle w:val="NormalWeb"/>
        <w:rPr>
          <w:sz w:val="22"/>
          <w:szCs w:val="22"/>
        </w:rPr>
      </w:pPr>
      <w:r w:rsidRPr="00FD7CCB">
        <w:rPr>
          <w:sz w:val="22"/>
          <w:szCs w:val="22"/>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FD7CCB" w:rsidRPr="00FD7CCB" w:rsidRDefault="00FD7CCB" w:rsidP="00FD7CCB">
      <w:pPr>
        <w:pStyle w:val="NormalWeb"/>
        <w:rPr>
          <w:sz w:val="22"/>
          <w:szCs w:val="22"/>
        </w:rPr>
      </w:pPr>
      <w:r w:rsidRPr="00FD7CCB">
        <w:rPr>
          <w:sz w:val="22"/>
          <w:szCs w:val="22"/>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FD7CCB" w:rsidRPr="00FD7CCB" w:rsidRDefault="00FD7CCB" w:rsidP="00FD7CCB">
      <w:pPr>
        <w:pStyle w:val="NormalWeb"/>
        <w:rPr>
          <w:sz w:val="22"/>
          <w:szCs w:val="22"/>
        </w:rPr>
      </w:pPr>
      <w:r w:rsidRPr="00FD7CCB">
        <w:rPr>
          <w:sz w:val="22"/>
          <w:szCs w:val="22"/>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FD7CCB" w:rsidRPr="00FD7CCB" w:rsidRDefault="00FD7CCB" w:rsidP="00FD7CCB">
      <w:pPr>
        <w:pStyle w:val="NormalWeb"/>
        <w:rPr>
          <w:sz w:val="22"/>
          <w:szCs w:val="22"/>
        </w:rPr>
      </w:pPr>
      <w:r w:rsidRPr="00FD7CCB">
        <w:rPr>
          <w:sz w:val="22"/>
          <w:szCs w:val="22"/>
        </w:rPr>
        <w:t xml:space="preserve">(d) An owner or operator is not required to conduct an initial performance test on units for which a performance test has been previously conducted, but the test must meet </w:t>
      </w:r>
      <w:proofErr w:type="gramStart"/>
      <w:r w:rsidRPr="00FD7CCB">
        <w:rPr>
          <w:sz w:val="22"/>
          <w:szCs w:val="22"/>
        </w:rPr>
        <w:t>all of</w:t>
      </w:r>
      <w:proofErr w:type="gramEnd"/>
      <w:r w:rsidRPr="00FD7CCB">
        <w:rPr>
          <w:sz w:val="22"/>
          <w:szCs w:val="22"/>
        </w:rPr>
        <w:t xml:space="preserve"> the conditions described in paragraphs (d)(1) through (5) of this section.</w:t>
      </w:r>
    </w:p>
    <w:p w:rsidR="00FD7CCB" w:rsidRPr="00FD7CCB" w:rsidRDefault="00FD7CCB" w:rsidP="00FD7CCB">
      <w:pPr>
        <w:pStyle w:val="NormalWeb"/>
        <w:rPr>
          <w:sz w:val="22"/>
          <w:szCs w:val="22"/>
        </w:rPr>
      </w:pPr>
      <w:r w:rsidRPr="00FD7CCB">
        <w:rPr>
          <w:sz w:val="22"/>
          <w:szCs w:val="22"/>
        </w:rPr>
        <w:t>(1) The test must have been conducted using the same methods specified in this subpart, and these methods must have been followed correctly.</w:t>
      </w:r>
    </w:p>
    <w:p w:rsidR="00FD7CCB" w:rsidRPr="00FD7CCB" w:rsidRDefault="00FD7CCB" w:rsidP="00FD7CCB">
      <w:pPr>
        <w:pStyle w:val="NormalWeb"/>
        <w:rPr>
          <w:sz w:val="22"/>
          <w:szCs w:val="22"/>
        </w:rPr>
      </w:pPr>
      <w:r w:rsidRPr="00FD7CCB">
        <w:rPr>
          <w:sz w:val="22"/>
          <w:szCs w:val="22"/>
        </w:rPr>
        <w:t>(2) The test must not be older than 2 years.</w:t>
      </w:r>
    </w:p>
    <w:p w:rsidR="00FD7CCB" w:rsidRPr="00FD7CCB" w:rsidRDefault="00FD7CCB" w:rsidP="00FD7CCB">
      <w:pPr>
        <w:pStyle w:val="NormalWeb"/>
        <w:rPr>
          <w:sz w:val="22"/>
          <w:szCs w:val="22"/>
        </w:rPr>
      </w:pPr>
      <w:r w:rsidRPr="00FD7CCB">
        <w:rPr>
          <w:sz w:val="22"/>
          <w:szCs w:val="22"/>
        </w:rPr>
        <w:t>(3) The test must be reviewed and accepted by the Administrator.</w:t>
      </w:r>
    </w:p>
    <w:p w:rsidR="00FD7CCB" w:rsidRPr="00FD7CCB" w:rsidRDefault="00FD7CCB" w:rsidP="00FD7CCB">
      <w:pPr>
        <w:pStyle w:val="NormalWeb"/>
        <w:rPr>
          <w:sz w:val="22"/>
          <w:szCs w:val="22"/>
        </w:rPr>
      </w:pPr>
      <w:r w:rsidRPr="00FD7CCB">
        <w:rPr>
          <w:sz w:val="22"/>
          <w:szCs w:val="22"/>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FD7CCB" w:rsidRPr="00FD7CCB" w:rsidRDefault="00FD7CCB" w:rsidP="00FD7CCB">
      <w:pPr>
        <w:pStyle w:val="NormalWeb"/>
        <w:rPr>
          <w:sz w:val="22"/>
          <w:szCs w:val="22"/>
        </w:rPr>
      </w:pPr>
      <w:r w:rsidRPr="00FD7CCB">
        <w:rPr>
          <w:sz w:val="22"/>
          <w:szCs w:val="22"/>
        </w:rPr>
        <w:t>(5) The test must be conducted at any load condition within plus or minus 10 percent of 100 percent load.</w:t>
      </w:r>
    </w:p>
    <w:p w:rsidR="00FD7CCB" w:rsidRPr="00FD7CCB" w:rsidRDefault="00FD7CCB" w:rsidP="00FD7CCB">
      <w:pPr>
        <w:pStyle w:val="cita"/>
        <w:rPr>
          <w:sz w:val="22"/>
          <w:szCs w:val="22"/>
        </w:rPr>
      </w:pPr>
      <w:r w:rsidRPr="00FD7CCB">
        <w:rPr>
          <w:sz w:val="22"/>
          <w:szCs w:val="22"/>
        </w:rPr>
        <w:t>[69 FR 33506, June 15, 2004, as amended at 73 FR 3605, Jan. 18, 2008]</w:t>
      </w:r>
    </w:p>
    <w:p w:rsidR="00FD7CCB" w:rsidRPr="00FD7CCB" w:rsidRDefault="00FD7CCB" w:rsidP="00FD7CCB">
      <w:pPr>
        <w:pStyle w:val="Heading2"/>
        <w:rPr>
          <w:rFonts w:ascii="Times New Roman" w:hAnsi="Times New Roman" w:cs="Times New Roman"/>
          <w:sz w:val="22"/>
          <w:szCs w:val="22"/>
        </w:rPr>
      </w:pPr>
      <w:bookmarkStart w:id="66" w:name="se40.15.63_16611"/>
      <w:bookmarkEnd w:id="66"/>
      <w:r w:rsidRPr="00FD7CCB">
        <w:rPr>
          <w:rFonts w:ascii="Times New Roman" w:hAnsi="Times New Roman" w:cs="Times New Roman"/>
          <w:sz w:val="22"/>
          <w:szCs w:val="22"/>
        </w:rPr>
        <w:lastRenderedPageBreak/>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FD7CCB" w:rsidRPr="00FD7CCB" w:rsidRDefault="00FD7CCB" w:rsidP="00FD7CCB">
      <w:pPr>
        <w:pStyle w:val="NormalWeb"/>
        <w:rPr>
          <w:sz w:val="22"/>
          <w:szCs w:val="22"/>
        </w:rPr>
      </w:pPr>
      <w:r w:rsidRPr="00FD7CCB">
        <w:rPr>
          <w:sz w:val="22"/>
          <w:szCs w:val="22"/>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FD7CCB" w:rsidRPr="00FD7CCB" w:rsidRDefault="00FD7CCB" w:rsidP="00FD7CCB">
      <w:pPr>
        <w:pStyle w:val="cita"/>
        <w:rPr>
          <w:sz w:val="22"/>
          <w:szCs w:val="22"/>
        </w:rPr>
      </w:pPr>
      <w:r w:rsidRPr="00FD7CCB">
        <w:rPr>
          <w:sz w:val="22"/>
          <w:szCs w:val="22"/>
        </w:rPr>
        <w:t>[73 FR 3605, Jan. 18, 2008, as amended at 75 FR 51589, Aug. 20, 2010]</w:t>
      </w:r>
    </w:p>
    <w:p w:rsidR="00FD7CCB" w:rsidRPr="00FD7CCB" w:rsidRDefault="00FD7CCB" w:rsidP="00FD7CCB">
      <w:pPr>
        <w:pStyle w:val="Heading2"/>
        <w:rPr>
          <w:rFonts w:ascii="Times New Roman" w:hAnsi="Times New Roman" w:cs="Times New Roman"/>
          <w:sz w:val="22"/>
          <w:szCs w:val="22"/>
        </w:rPr>
      </w:pPr>
      <w:bookmarkStart w:id="67" w:name="se40.15.63_16612"/>
      <w:bookmarkEnd w:id="67"/>
      <w:r w:rsidRPr="00FD7CCB">
        <w:rPr>
          <w:rFonts w:ascii="Times New Roman" w:hAnsi="Times New Roman" w:cs="Times New Roman"/>
          <w:sz w:val="22"/>
          <w:szCs w:val="22"/>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FD7CCB" w:rsidRPr="00FD7CCB" w:rsidRDefault="00FD7CCB" w:rsidP="00FD7CCB">
      <w:pPr>
        <w:pStyle w:val="NormalWeb"/>
        <w:rPr>
          <w:sz w:val="22"/>
          <w:szCs w:val="22"/>
        </w:rPr>
      </w:pPr>
      <w:r w:rsidRPr="00FD7CCB">
        <w:rPr>
          <w:sz w:val="22"/>
          <w:szCs w:val="22"/>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FD7CCB" w:rsidRPr="00FD7CCB" w:rsidRDefault="00FD7CCB" w:rsidP="00FD7CCB">
      <w:pPr>
        <w:pStyle w:val="NormalWeb"/>
        <w:rPr>
          <w:sz w:val="22"/>
          <w:szCs w:val="22"/>
        </w:rPr>
      </w:pPr>
      <w:r w:rsidRPr="00FD7CCB">
        <w:rPr>
          <w:sz w:val="22"/>
          <w:szCs w:val="22"/>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FD7CCB" w:rsidRPr="00FD7CCB" w:rsidRDefault="00FD7CCB" w:rsidP="00FD7CCB">
      <w:pPr>
        <w:pStyle w:val="NormalWeb"/>
        <w:rPr>
          <w:sz w:val="22"/>
          <w:szCs w:val="22"/>
        </w:rPr>
      </w:pPr>
      <w:r w:rsidRPr="00FD7CCB">
        <w:rPr>
          <w:sz w:val="22"/>
          <w:szCs w:val="22"/>
        </w:rPr>
        <w:t xml:space="preserve">(b) An owner or operator is not required to conduct an initial performance test on a unit for which a performance test has been previously conducted, but the test must meet </w:t>
      </w:r>
      <w:proofErr w:type="gramStart"/>
      <w:r w:rsidRPr="00FD7CCB">
        <w:rPr>
          <w:sz w:val="22"/>
          <w:szCs w:val="22"/>
        </w:rPr>
        <w:t>all of</w:t>
      </w:r>
      <w:proofErr w:type="gramEnd"/>
      <w:r w:rsidRPr="00FD7CCB">
        <w:rPr>
          <w:sz w:val="22"/>
          <w:szCs w:val="22"/>
        </w:rPr>
        <w:t xml:space="preserve"> the conditions described in paragraphs (b)(1) through (4) of this section.</w:t>
      </w:r>
    </w:p>
    <w:p w:rsidR="00FD7CCB" w:rsidRPr="00FD7CCB" w:rsidRDefault="00FD7CCB" w:rsidP="00FD7CCB">
      <w:pPr>
        <w:pStyle w:val="NormalWeb"/>
        <w:rPr>
          <w:sz w:val="22"/>
          <w:szCs w:val="22"/>
        </w:rPr>
      </w:pPr>
      <w:r w:rsidRPr="00FD7CCB">
        <w:rPr>
          <w:sz w:val="22"/>
          <w:szCs w:val="22"/>
        </w:rPr>
        <w:t>(1) The test must have been conducted using the same methods specified in this subpart, and these methods must have been followed correctly.</w:t>
      </w:r>
    </w:p>
    <w:p w:rsidR="00FD7CCB" w:rsidRPr="00FD7CCB" w:rsidRDefault="00FD7CCB" w:rsidP="00FD7CCB">
      <w:pPr>
        <w:pStyle w:val="NormalWeb"/>
        <w:rPr>
          <w:sz w:val="22"/>
          <w:szCs w:val="22"/>
        </w:rPr>
      </w:pPr>
      <w:r w:rsidRPr="00FD7CCB">
        <w:rPr>
          <w:sz w:val="22"/>
          <w:szCs w:val="22"/>
        </w:rPr>
        <w:t>(2) The test must not be older than 2 years.</w:t>
      </w:r>
    </w:p>
    <w:p w:rsidR="00FD7CCB" w:rsidRPr="00FD7CCB" w:rsidRDefault="00FD7CCB" w:rsidP="00FD7CCB">
      <w:pPr>
        <w:pStyle w:val="NormalWeb"/>
        <w:rPr>
          <w:sz w:val="22"/>
          <w:szCs w:val="22"/>
        </w:rPr>
      </w:pPr>
      <w:r w:rsidRPr="00FD7CCB">
        <w:rPr>
          <w:sz w:val="22"/>
          <w:szCs w:val="22"/>
        </w:rPr>
        <w:t>(3) The test must be reviewed and accepted by the Administrator.</w:t>
      </w:r>
    </w:p>
    <w:p w:rsidR="00FD7CCB" w:rsidRPr="00FD7CCB" w:rsidRDefault="00FD7CCB" w:rsidP="00FD7CCB">
      <w:pPr>
        <w:pStyle w:val="NormalWeb"/>
        <w:rPr>
          <w:sz w:val="22"/>
          <w:szCs w:val="22"/>
        </w:rPr>
      </w:pPr>
      <w:r w:rsidRPr="00FD7CCB">
        <w:rPr>
          <w:sz w:val="22"/>
          <w:szCs w:val="22"/>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FD7CCB" w:rsidRPr="00FD7CCB" w:rsidRDefault="00FD7CCB" w:rsidP="00FD7CCB">
      <w:pPr>
        <w:pStyle w:val="cita"/>
        <w:rPr>
          <w:sz w:val="22"/>
          <w:szCs w:val="22"/>
        </w:rPr>
      </w:pPr>
      <w:r w:rsidRPr="00FD7CCB">
        <w:rPr>
          <w:sz w:val="22"/>
          <w:szCs w:val="22"/>
        </w:rPr>
        <w:t>[75 FR 9676, Mar. 3, 2010, as amended at 75 FR 51589, Aug. 20, 2010]</w:t>
      </w:r>
    </w:p>
    <w:p w:rsidR="00FD7CCB" w:rsidRPr="00FD7CCB" w:rsidRDefault="00FD7CCB" w:rsidP="00FD7CCB">
      <w:pPr>
        <w:pStyle w:val="Heading2"/>
        <w:rPr>
          <w:rFonts w:ascii="Times New Roman" w:hAnsi="Times New Roman" w:cs="Times New Roman"/>
          <w:sz w:val="22"/>
          <w:szCs w:val="22"/>
        </w:rPr>
      </w:pPr>
      <w:bookmarkStart w:id="68" w:name="se40.15.63_16615"/>
      <w:bookmarkEnd w:id="68"/>
      <w:r w:rsidRPr="00FD7CCB">
        <w:rPr>
          <w:rFonts w:ascii="Times New Roman" w:hAnsi="Times New Roman" w:cs="Times New Roman"/>
          <w:sz w:val="22"/>
          <w:szCs w:val="22"/>
        </w:rPr>
        <w:t>§63.6615   When must I conduct subsequent performance tests?</w:t>
      </w:r>
    </w:p>
    <w:p w:rsidR="00FD7CCB" w:rsidRPr="00FD7CCB" w:rsidRDefault="00FD7CCB" w:rsidP="00FD7CCB">
      <w:pPr>
        <w:pStyle w:val="NormalWeb"/>
        <w:rPr>
          <w:sz w:val="22"/>
          <w:szCs w:val="22"/>
        </w:rPr>
      </w:pPr>
      <w:r w:rsidRPr="00FD7CCB">
        <w:rPr>
          <w:sz w:val="22"/>
          <w:szCs w:val="22"/>
        </w:rPr>
        <w:t>If you must comply with the emission limitations and operating limitations, you must conduct subsequent performance tests as specified in Table 3 of this subpart.</w:t>
      </w:r>
    </w:p>
    <w:p w:rsidR="00FD7CCB" w:rsidRPr="00FD7CCB" w:rsidRDefault="00FD7CCB" w:rsidP="00FD7CCB">
      <w:pPr>
        <w:pStyle w:val="Heading2"/>
        <w:rPr>
          <w:rFonts w:ascii="Times New Roman" w:hAnsi="Times New Roman" w:cs="Times New Roman"/>
          <w:sz w:val="22"/>
          <w:szCs w:val="22"/>
        </w:rPr>
      </w:pPr>
      <w:bookmarkStart w:id="69" w:name="se40.15.63_16620"/>
      <w:bookmarkEnd w:id="69"/>
      <w:r w:rsidRPr="00FD7CCB">
        <w:rPr>
          <w:rFonts w:ascii="Times New Roman" w:hAnsi="Times New Roman" w:cs="Times New Roman"/>
          <w:sz w:val="22"/>
          <w:szCs w:val="22"/>
        </w:rPr>
        <w:t>§63.6620   What performance tests and other procedures must I use?</w:t>
      </w:r>
    </w:p>
    <w:p w:rsidR="00FD7CCB" w:rsidRPr="00FD7CCB" w:rsidRDefault="00FD7CCB" w:rsidP="00FD7CCB">
      <w:pPr>
        <w:pStyle w:val="NormalWeb"/>
        <w:rPr>
          <w:sz w:val="22"/>
          <w:szCs w:val="22"/>
        </w:rPr>
      </w:pPr>
      <w:r w:rsidRPr="00FD7CCB">
        <w:rPr>
          <w:sz w:val="22"/>
          <w:szCs w:val="22"/>
        </w:rPr>
        <w:t>(a) You must conduct each performance test in Tables 3 and 4 of this subpart that applies to you.</w:t>
      </w:r>
    </w:p>
    <w:p w:rsidR="00FD7CCB" w:rsidRPr="00FD7CCB" w:rsidRDefault="00FD7CCB" w:rsidP="00FD7CCB">
      <w:pPr>
        <w:pStyle w:val="NormalWeb"/>
        <w:rPr>
          <w:sz w:val="22"/>
          <w:szCs w:val="22"/>
        </w:rPr>
      </w:pPr>
      <w:r w:rsidRPr="00FD7CCB">
        <w:rPr>
          <w:sz w:val="22"/>
          <w:szCs w:val="22"/>
        </w:rPr>
        <w:lastRenderedPageBreak/>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FD7CCB" w:rsidRPr="00FD7CCB" w:rsidRDefault="00FD7CCB" w:rsidP="00FD7CCB">
      <w:pPr>
        <w:pStyle w:val="NormalWeb"/>
        <w:rPr>
          <w:sz w:val="22"/>
          <w:szCs w:val="22"/>
        </w:rPr>
      </w:pPr>
      <w:r w:rsidRPr="00FD7CCB">
        <w:rPr>
          <w:sz w:val="22"/>
          <w:szCs w:val="22"/>
        </w:rPr>
        <w:t>(1) Non-emergency 4SRB stationary RICE with a site rating of greater than 500 brake HP located at a major source of HAP emissions.</w:t>
      </w:r>
    </w:p>
    <w:p w:rsidR="00FD7CCB" w:rsidRPr="00FD7CCB" w:rsidRDefault="00FD7CCB" w:rsidP="00FD7CCB">
      <w:pPr>
        <w:pStyle w:val="NormalWeb"/>
        <w:rPr>
          <w:sz w:val="22"/>
          <w:szCs w:val="22"/>
        </w:rPr>
      </w:pPr>
      <w:r w:rsidRPr="00FD7CCB">
        <w:rPr>
          <w:sz w:val="22"/>
          <w:szCs w:val="22"/>
        </w:rPr>
        <w:t>(2) New non-emergency 4SLB stationary RICE with a site rating of greater than or equal to 250 brake HP located at a major source of HAP emissions.</w:t>
      </w:r>
    </w:p>
    <w:p w:rsidR="00FD7CCB" w:rsidRPr="00FD7CCB" w:rsidRDefault="00FD7CCB" w:rsidP="00FD7CCB">
      <w:pPr>
        <w:pStyle w:val="NormalWeb"/>
        <w:rPr>
          <w:sz w:val="22"/>
          <w:szCs w:val="22"/>
        </w:rPr>
      </w:pPr>
      <w:r w:rsidRPr="00FD7CCB">
        <w:rPr>
          <w:sz w:val="22"/>
          <w:szCs w:val="22"/>
        </w:rPr>
        <w:t>(3) New non-emergency 2SLB stationary RICE with a site rating of greater than 500 brake HP located at a major source of HAP emissions.</w:t>
      </w:r>
    </w:p>
    <w:p w:rsidR="00FD7CCB" w:rsidRPr="00FD7CCB" w:rsidRDefault="00FD7CCB" w:rsidP="00FD7CCB">
      <w:pPr>
        <w:pStyle w:val="NormalWeb"/>
        <w:rPr>
          <w:sz w:val="22"/>
          <w:szCs w:val="22"/>
        </w:rPr>
      </w:pPr>
      <w:r w:rsidRPr="00FD7CCB">
        <w:rPr>
          <w:sz w:val="22"/>
          <w:szCs w:val="22"/>
        </w:rPr>
        <w:t>(4) New non-emergency CI stationary RICE with a site rating of greater than 500 brake HP located at a major source of HAP emissions.</w:t>
      </w:r>
    </w:p>
    <w:p w:rsidR="00FD7CCB" w:rsidRPr="00FD7CCB" w:rsidRDefault="00FD7CCB" w:rsidP="00FD7CCB">
      <w:pPr>
        <w:pStyle w:val="NormalWeb"/>
        <w:rPr>
          <w:sz w:val="22"/>
          <w:szCs w:val="22"/>
        </w:rPr>
      </w:pPr>
      <w:r w:rsidRPr="00FD7CCB">
        <w:rPr>
          <w:sz w:val="22"/>
          <w:szCs w:val="22"/>
        </w:rPr>
        <w:t>(c) [Reserved]</w:t>
      </w:r>
    </w:p>
    <w:p w:rsidR="00FD7CCB" w:rsidRPr="00FD7CCB" w:rsidRDefault="00FD7CCB" w:rsidP="00FD7CCB">
      <w:pPr>
        <w:pStyle w:val="NormalWeb"/>
        <w:rPr>
          <w:sz w:val="22"/>
          <w:szCs w:val="22"/>
        </w:rPr>
      </w:pPr>
      <w:r w:rsidRPr="00FD7CCB">
        <w:rPr>
          <w:sz w:val="22"/>
          <w:szCs w:val="22"/>
        </w:rPr>
        <w:t>(d) You must conduct three separate test runs for each performance test required in this section, as specified in §63.7(e)(3). Each test run must last at least 1 hour, unless otherwise specified in this subpart.</w:t>
      </w:r>
    </w:p>
    <w:p w:rsidR="00FD7CCB" w:rsidRPr="00FD7CCB" w:rsidRDefault="00FD7CCB" w:rsidP="00FD7CCB">
      <w:pPr>
        <w:pStyle w:val="NormalWeb"/>
        <w:rPr>
          <w:sz w:val="22"/>
          <w:szCs w:val="22"/>
        </w:rPr>
      </w:pPr>
      <w:r w:rsidRPr="00FD7CCB">
        <w:rPr>
          <w:sz w:val="22"/>
          <w:szCs w:val="22"/>
        </w:rPr>
        <w:t>(e)(1) You must use Equation 1 of this section to determine compliance with the percent reduction requirement:</w:t>
      </w:r>
    </w:p>
    <w:p w:rsidR="00FD7CCB" w:rsidRPr="00FD7CCB" w:rsidRDefault="00FD7CCB" w:rsidP="00FD7CCB">
      <w:pPr>
        <w:rPr>
          <w:szCs w:val="22"/>
        </w:rPr>
      </w:pPr>
      <w:r w:rsidRPr="00FD7CCB">
        <w:rPr>
          <w:noProof/>
          <w:szCs w:val="22"/>
        </w:rPr>
        <w:drawing>
          <wp:inline distT="0" distB="0" distL="0" distR="0">
            <wp:extent cx="1574165" cy="278130"/>
            <wp:effectExtent l="0" t="0" r="6985" b="7620"/>
            <wp:docPr id="90" name="Picture 90"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eCFR graphic er30ja13.007.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74165" cy="278130"/>
                    </a:xfrm>
                    <a:prstGeom prst="rect">
                      <a:avLst/>
                    </a:prstGeom>
                    <a:noFill/>
                    <a:ln>
                      <a:noFill/>
                    </a:ln>
                  </pic:spPr>
                </pic:pic>
              </a:graphicData>
            </a:graphic>
          </wp:inline>
        </w:drawing>
      </w:r>
    </w:p>
    <w:p w:rsidR="00FD7CCB" w:rsidRPr="00FD7CCB" w:rsidRDefault="00FD7CCB" w:rsidP="00FD7CCB">
      <w:pPr>
        <w:pStyle w:val="fp"/>
        <w:rPr>
          <w:sz w:val="22"/>
          <w:szCs w:val="22"/>
        </w:rPr>
      </w:pPr>
      <w:r w:rsidRPr="00FD7CCB">
        <w:rPr>
          <w:sz w:val="22"/>
          <w:szCs w:val="22"/>
        </w:rPr>
        <w:t>Where:</w:t>
      </w:r>
    </w:p>
    <w:p w:rsidR="00FD7CCB" w:rsidRPr="00FD7CCB" w:rsidRDefault="00FD7CCB" w:rsidP="00FD7CCB">
      <w:pPr>
        <w:pStyle w:val="fp-2"/>
        <w:rPr>
          <w:sz w:val="22"/>
          <w:szCs w:val="22"/>
        </w:rPr>
      </w:pPr>
      <w:r w:rsidRPr="00FD7CCB">
        <w:rPr>
          <w:sz w:val="22"/>
          <w:szCs w:val="22"/>
        </w:rPr>
        <w:t>C</w:t>
      </w:r>
      <w:r w:rsidRPr="00FD7CCB">
        <w:rPr>
          <w:sz w:val="22"/>
          <w:szCs w:val="22"/>
          <w:vertAlign w:val="subscript"/>
        </w:rPr>
        <w:t>i</w:t>
      </w:r>
      <w:r w:rsidRPr="00FD7CCB">
        <w:rPr>
          <w:sz w:val="22"/>
          <w:szCs w:val="22"/>
        </w:rPr>
        <w:t xml:space="preserve"> = concentration of carbon monoxide (CO), total hydrocarbons (THC), or formaldehyde at the control device inlet,</w:t>
      </w:r>
    </w:p>
    <w:p w:rsidR="00FD7CCB" w:rsidRPr="00FD7CCB" w:rsidRDefault="00FD7CCB" w:rsidP="00FD7CCB">
      <w:pPr>
        <w:pStyle w:val="fp-2"/>
        <w:rPr>
          <w:sz w:val="22"/>
          <w:szCs w:val="22"/>
        </w:rPr>
      </w:pPr>
      <w:r w:rsidRPr="00FD7CCB">
        <w:rPr>
          <w:sz w:val="22"/>
          <w:szCs w:val="22"/>
        </w:rPr>
        <w:t>C</w:t>
      </w:r>
      <w:r w:rsidRPr="00FD7CCB">
        <w:rPr>
          <w:sz w:val="22"/>
          <w:szCs w:val="22"/>
          <w:vertAlign w:val="subscript"/>
        </w:rPr>
        <w:t>o</w:t>
      </w:r>
      <w:r w:rsidRPr="00FD7CCB">
        <w:rPr>
          <w:sz w:val="22"/>
          <w:szCs w:val="22"/>
        </w:rPr>
        <w:t xml:space="preserve"> = concentration of CO, THC, or formaldehyde at the control device outlet, and</w:t>
      </w:r>
    </w:p>
    <w:p w:rsidR="00FD7CCB" w:rsidRPr="00FD7CCB" w:rsidRDefault="00FD7CCB" w:rsidP="00FD7CCB">
      <w:pPr>
        <w:pStyle w:val="fp-2"/>
        <w:rPr>
          <w:sz w:val="22"/>
          <w:szCs w:val="22"/>
        </w:rPr>
      </w:pPr>
      <w:r w:rsidRPr="00FD7CCB">
        <w:rPr>
          <w:sz w:val="22"/>
          <w:szCs w:val="22"/>
        </w:rPr>
        <w:t>R = percent reduction of CO, THC, or formaldehyde emissions.</w:t>
      </w:r>
    </w:p>
    <w:p w:rsidR="00FD7CCB" w:rsidRPr="00FD7CCB" w:rsidRDefault="00FD7CCB" w:rsidP="00FD7CCB">
      <w:pPr>
        <w:pStyle w:val="NormalWeb"/>
        <w:rPr>
          <w:sz w:val="22"/>
          <w:szCs w:val="22"/>
        </w:rPr>
      </w:pPr>
      <w:r w:rsidRPr="00FD7CCB">
        <w:rPr>
          <w:sz w:val="22"/>
          <w:szCs w:val="22"/>
        </w:rPr>
        <w:t>(2) You must normalize the CO, THC, or formaldehyde concentrations at the inlet and outlet of the control device to a dry basis and to 15 percent oxygen, or an equivalent percent carbon dioxide (CO</w:t>
      </w:r>
      <w:r w:rsidRPr="00FD7CCB">
        <w:rPr>
          <w:sz w:val="22"/>
          <w:szCs w:val="22"/>
          <w:vertAlign w:val="subscript"/>
        </w:rPr>
        <w:t>2</w:t>
      </w:r>
      <w:r w:rsidRPr="00FD7CCB">
        <w:rPr>
          <w:sz w:val="22"/>
          <w:szCs w:val="22"/>
        </w:rPr>
        <w:t>). If pollutant concentrations are to be corrected to 15 percent oxygen and CO</w:t>
      </w:r>
      <w:r w:rsidRPr="00FD7CCB">
        <w:rPr>
          <w:sz w:val="22"/>
          <w:szCs w:val="22"/>
          <w:vertAlign w:val="subscript"/>
        </w:rPr>
        <w:t>2</w:t>
      </w:r>
      <w:r w:rsidRPr="00FD7CCB">
        <w:rPr>
          <w:sz w:val="22"/>
          <w:szCs w:val="22"/>
        </w:rPr>
        <w:t xml:space="preserve"> concentration is measured in lieu of oxygen concentration measurement, a CO</w:t>
      </w:r>
      <w:r w:rsidRPr="00FD7CCB">
        <w:rPr>
          <w:sz w:val="22"/>
          <w:szCs w:val="22"/>
          <w:vertAlign w:val="subscript"/>
        </w:rPr>
        <w:t>2</w:t>
      </w:r>
      <w:r w:rsidRPr="00FD7CCB">
        <w:rPr>
          <w:sz w:val="22"/>
          <w:szCs w:val="22"/>
        </w:rPr>
        <w:t xml:space="preserve"> correction factor is needed. Calculate the CO</w:t>
      </w:r>
      <w:r w:rsidRPr="00FD7CCB">
        <w:rPr>
          <w:sz w:val="22"/>
          <w:szCs w:val="22"/>
          <w:vertAlign w:val="subscript"/>
        </w:rPr>
        <w:t>2</w:t>
      </w:r>
      <w:r w:rsidRPr="00FD7CCB">
        <w:rPr>
          <w:sz w:val="22"/>
          <w:szCs w:val="22"/>
        </w:rPr>
        <w:t xml:space="preserve"> correction factor as described in paragraphs (e)(2)(i) through (iii) of this section.</w:t>
      </w:r>
    </w:p>
    <w:p w:rsidR="00FD7CCB" w:rsidRPr="00FD7CCB" w:rsidRDefault="00FD7CCB" w:rsidP="00FD7CCB">
      <w:pPr>
        <w:pStyle w:val="NormalWeb"/>
        <w:rPr>
          <w:sz w:val="22"/>
          <w:szCs w:val="22"/>
        </w:rPr>
      </w:pPr>
      <w:r w:rsidRPr="00FD7CCB">
        <w:rPr>
          <w:sz w:val="22"/>
          <w:szCs w:val="22"/>
        </w:rPr>
        <w:t>(i) Calculate the fuel-specific F</w:t>
      </w:r>
      <w:r w:rsidRPr="00FD7CCB">
        <w:rPr>
          <w:sz w:val="22"/>
          <w:szCs w:val="22"/>
          <w:vertAlign w:val="subscript"/>
        </w:rPr>
        <w:t>o</w:t>
      </w:r>
      <w:r w:rsidRPr="00FD7CCB">
        <w:rPr>
          <w:sz w:val="22"/>
          <w:szCs w:val="22"/>
        </w:rPr>
        <w:t xml:space="preserve"> value for the fuel burned during the test using values obtained from Method 19, Section 5.2, and the following equation:</w:t>
      </w:r>
    </w:p>
    <w:p w:rsidR="00FD7CCB" w:rsidRPr="00FD7CCB" w:rsidRDefault="00FD7CCB" w:rsidP="00FD7CCB">
      <w:pPr>
        <w:rPr>
          <w:szCs w:val="22"/>
        </w:rPr>
      </w:pPr>
      <w:r w:rsidRPr="00FD7CCB">
        <w:rPr>
          <w:noProof/>
          <w:szCs w:val="22"/>
        </w:rPr>
        <w:lastRenderedPageBreak/>
        <w:drawing>
          <wp:inline distT="0" distB="0" distL="0" distR="0">
            <wp:extent cx="1351915" cy="278130"/>
            <wp:effectExtent l="0" t="0" r="635" b="7620"/>
            <wp:docPr id="89" name="Picture 89"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eCFR graphic er30ja13.008.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51915" cy="278130"/>
                    </a:xfrm>
                    <a:prstGeom prst="rect">
                      <a:avLst/>
                    </a:prstGeom>
                    <a:noFill/>
                    <a:ln>
                      <a:noFill/>
                    </a:ln>
                  </pic:spPr>
                </pic:pic>
              </a:graphicData>
            </a:graphic>
          </wp:inline>
        </w:drawing>
      </w:r>
    </w:p>
    <w:p w:rsidR="00FD7CCB" w:rsidRPr="00FD7CCB" w:rsidRDefault="00FD7CCB" w:rsidP="00FD7CCB">
      <w:pPr>
        <w:pStyle w:val="fp"/>
        <w:rPr>
          <w:sz w:val="22"/>
          <w:szCs w:val="22"/>
        </w:rPr>
      </w:pPr>
      <w:r w:rsidRPr="00FD7CCB">
        <w:rPr>
          <w:sz w:val="22"/>
          <w:szCs w:val="22"/>
        </w:rPr>
        <w:t>Where:</w:t>
      </w:r>
    </w:p>
    <w:p w:rsidR="00FD7CCB" w:rsidRPr="00FD7CCB" w:rsidRDefault="00FD7CCB" w:rsidP="00FD7CCB">
      <w:pPr>
        <w:pStyle w:val="fp-2"/>
        <w:rPr>
          <w:sz w:val="22"/>
          <w:szCs w:val="22"/>
        </w:rPr>
      </w:pPr>
      <w:r w:rsidRPr="00FD7CCB">
        <w:rPr>
          <w:sz w:val="22"/>
          <w:szCs w:val="22"/>
        </w:rPr>
        <w:t>F</w:t>
      </w:r>
      <w:r w:rsidRPr="00FD7CCB">
        <w:rPr>
          <w:sz w:val="22"/>
          <w:szCs w:val="22"/>
          <w:vertAlign w:val="subscript"/>
        </w:rPr>
        <w:t>o</w:t>
      </w:r>
      <w:r w:rsidRPr="00FD7CCB">
        <w:rPr>
          <w:sz w:val="22"/>
          <w:szCs w:val="22"/>
        </w:rPr>
        <w:t xml:space="preserve"> = Fuel factor based on the ratio of oxygen volume to the ultimate CO</w:t>
      </w:r>
      <w:r w:rsidRPr="00FD7CCB">
        <w:rPr>
          <w:sz w:val="22"/>
          <w:szCs w:val="22"/>
          <w:vertAlign w:val="subscript"/>
        </w:rPr>
        <w:t>2</w:t>
      </w:r>
      <w:r w:rsidRPr="00FD7CCB">
        <w:rPr>
          <w:sz w:val="22"/>
          <w:szCs w:val="22"/>
        </w:rPr>
        <w:t xml:space="preserve"> volume produced by the fuel at zero percent excess air.</w:t>
      </w:r>
    </w:p>
    <w:p w:rsidR="00FD7CCB" w:rsidRPr="00FD7CCB" w:rsidRDefault="00FD7CCB" w:rsidP="00FD7CCB">
      <w:pPr>
        <w:pStyle w:val="fp-2"/>
        <w:rPr>
          <w:sz w:val="22"/>
          <w:szCs w:val="22"/>
        </w:rPr>
      </w:pPr>
      <w:r w:rsidRPr="00FD7CCB">
        <w:rPr>
          <w:sz w:val="22"/>
          <w:szCs w:val="22"/>
        </w:rPr>
        <w:t>0.209 = Fraction of air that is oxygen, percent/100.</w:t>
      </w:r>
    </w:p>
    <w:p w:rsidR="00FD7CCB" w:rsidRPr="00FD7CCB" w:rsidRDefault="00FD7CCB" w:rsidP="00FD7CCB">
      <w:pPr>
        <w:pStyle w:val="fp-2"/>
        <w:rPr>
          <w:sz w:val="22"/>
          <w:szCs w:val="22"/>
        </w:rPr>
      </w:pPr>
      <w:r w:rsidRPr="00FD7CCB">
        <w:rPr>
          <w:sz w:val="22"/>
          <w:szCs w:val="22"/>
        </w:rPr>
        <w:t>F</w:t>
      </w:r>
      <w:r w:rsidRPr="00FD7CCB">
        <w:rPr>
          <w:sz w:val="22"/>
          <w:szCs w:val="22"/>
          <w:vertAlign w:val="subscript"/>
        </w:rPr>
        <w:t>d</w:t>
      </w:r>
      <w:r w:rsidRPr="00FD7CCB">
        <w:rPr>
          <w:sz w:val="22"/>
          <w:szCs w:val="22"/>
        </w:rPr>
        <w:t xml:space="preserve"> = Ratio of the volume of dry effluent gas to the gross calorific value of the fuel from Method 19, dsm</w:t>
      </w:r>
      <w:r w:rsidRPr="00FD7CCB">
        <w:rPr>
          <w:rStyle w:val="su1"/>
          <w:sz w:val="22"/>
          <w:szCs w:val="22"/>
        </w:rPr>
        <w:t>3</w:t>
      </w:r>
      <w:r w:rsidRPr="00FD7CCB">
        <w:rPr>
          <w:sz w:val="22"/>
          <w:szCs w:val="22"/>
        </w:rPr>
        <w:t>/J (dscf/10</w:t>
      </w:r>
      <w:r w:rsidRPr="00FD7CCB">
        <w:rPr>
          <w:rStyle w:val="su1"/>
          <w:sz w:val="22"/>
          <w:szCs w:val="22"/>
        </w:rPr>
        <w:t>6</w:t>
      </w:r>
      <w:r w:rsidRPr="00FD7CCB">
        <w:rPr>
          <w:sz w:val="22"/>
          <w:szCs w:val="22"/>
        </w:rPr>
        <w:t xml:space="preserve"> Btu).</w:t>
      </w:r>
    </w:p>
    <w:p w:rsidR="00FD7CCB" w:rsidRPr="00FD7CCB" w:rsidRDefault="00FD7CCB" w:rsidP="00FD7CCB">
      <w:pPr>
        <w:pStyle w:val="fp-2"/>
        <w:rPr>
          <w:sz w:val="22"/>
          <w:szCs w:val="22"/>
        </w:rPr>
      </w:pPr>
      <w:r w:rsidRPr="00FD7CCB">
        <w:rPr>
          <w:sz w:val="22"/>
          <w:szCs w:val="22"/>
        </w:rPr>
        <w:t>F</w:t>
      </w:r>
      <w:r w:rsidRPr="00FD7CCB">
        <w:rPr>
          <w:sz w:val="22"/>
          <w:szCs w:val="22"/>
          <w:vertAlign w:val="subscript"/>
        </w:rPr>
        <w:t>c</w:t>
      </w:r>
      <w:r w:rsidRPr="00FD7CCB">
        <w:rPr>
          <w:sz w:val="22"/>
          <w:szCs w:val="22"/>
        </w:rPr>
        <w:t xml:space="preserve"> = Ratio of the volume of CO</w:t>
      </w:r>
      <w:r w:rsidRPr="00FD7CCB">
        <w:rPr>
          <w:sz w:val="22"/>
          <w:szCs w:val="22"/>
          <w:vertAlign w:val="subscript"/>
        </w:rPr>
        <w:t>2</w:t>
      </w:r>
      <w:r w:rsidRPr="00FD7CCB">
        <w:rPr>
          <w:sz w:val="22"/>
          <w:szCs w:val="22"/>
        </w:rPr>
        <w:t xml:space="preserve"> produced to the gross calorific value of the fuel from Method 19, dsm</w:t>
      </w:r>
      <w:r w:rsidRPr="00FD7CCB">
        <w:rPr>
          <w:rStyle w:val="su1"/>
          <w:sz w:val="22"/>
          <w:szCs w:val="22"/>
        </w:rPr>
        <w:t>3</w:t>
      </w:r>
      <w:r w:rsidRPr="00FD7CCB">
        <w:rPr>
          <w:sz w:val="22"/>
          <w:szCs w:val="22"/>
        </w:rPr>
        <w:t>/J (dscf/10</w:t>
      </w:r>
      <w:r w:rsidRPr="00FD7CCB">
        <w:rPr>
          <w:rStyle w:val="su1"/>
          <w:sz w:val="22"/>
          <w:szCs w:val="22"/>
        </w:rPr>
        <w:t>6</w:t>
      </w:r>
      <w:r w:rsidRPr="00FD7CCB">
        <w:rPr>
          <w:sz w:val="22"/>
          <w:szCs w:val="22"/>
        </w:rPr>
        <w:t xml:space="preserve"> Btu)</w:t>
      </w:r>
    </w:p>
    <w:p w:rsidR="00FD7CCB" w:rsidRPr="00FD7CCB" w:rsidRDefault="00FD7CCB" w:rsidP="00FD7CCB">
      <w:pPr>
        <w:pStyle w:val="NormalWeb"/>
        <w:rPr>
          <w:sz w:val="22"/>
          <w:szCs w:val="22"/>
        </w:rPr>
      </w:pPr>
      <w:r w:rsidRPr="00FD7CCB">
        <w:rPr>
          <w:sz w:val="22"/>
          <w:szCs w:val="22"/>
        </w:rPr>
        <w:t>(ii) Calculate the CO</w:t>
      </w:r>
      <w:r w:rsidRPr="00FD7CCB">
        <w:rPr>
          <w:sz w:val="22"/>
          <w:szCs w:val="22"/>
          <w:vertAlign w:val="subscript"/>
        </w:rPr>
        <w:t>2</w:t>
      </w:r>
      <w:r w:rsidRPr="00FD7CCB">
        <w:rPr>
          <w:sz w:val="22"/>
          <w:szCs w:val="22"/>
        </w:rPr>
        <w:t xml:space="preserve"> correction factor for correcting measurement data to 15 percent O</w:t>
      </w:r>
      <w:r w:rsidRPr="00FD7CCB">
        <w:rPr>
          <w:sz w:val="22"/>
          <w:szCs w:val="22"/>
          <w:vertAlign w:val="subscript"/>
        </w:rPr>
        <w:t>2</w:t>
      </w:r>
      <w:r w:rsidRPr="00FD7CCB">
        <w:rPr>
          <w:sz w:val="22"/>
          <w:szCs w:val="22"/>
        </w:rPr>
        <w:t>, as follows:</w:t>
      </w:r>
    </w:p>
    <w:p w:rsidR="00FD7CCB" w:rsidRPr="00FD7CCB" w:rsidRDefault="00FD7CCB" w:rsidP="00FD7CCB">
      <w:pPr>
        <w:rPr>
          <w:szCs w:val="22"/>
        </w:rPr>
      </w:pPr>
      <w:r w:rsidRPr="00FD7CCB">
        <w:rPr>
          <w:noProof/>
          <w:szCs w:val="22"/>
        </w:rPr>
        <w:drawing>
          <wp:inline distT="0" distB="0" distL="0" distR="0">
            <wp:extent cx="1160780" cy="238760"/>
            <wp:effectExtent l="0" t="0" r="1270" b="8890"/>
            <wp:docPr id="88" name="Picture 88"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eCFR graphic er30ja13.009.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60780" cy="238760"/>
                    </a:xfrm>
                    <a:prstGeom prst="rect">
                      <a:avLst/>
                    </a:prstGeom>
                    <a:noFill/>
                    <a:ln>
                      <a:noFill/>
                    </a:ln>
                  </pic:spPr>
                </pic:pic>
              </a:graphicData>
            </a:graphic>
          </wp:inline>
        </w:drawing>
      </w:r>
    </w:p>
    <w:p w:rsidR="00FD7CCB" w:rsidRPr="00FD7CCB" w:rsidRDefault="00FD7CCB" w:rsidP="00FD7CCB">
      <w:pPr>
        <w:pStyle w:val="fp"/>
        <w:rPr>
          <w:sz w:val="22"/>
          <w:szCs w:val="22"/>
        </w:rPr>
      </w:pPr>
      <w:r w:rsidRPr="00FD7CCB">
        <w:rPr>
          <w:sz w:val="22"/>
          <w:szCs w:val="22"/>
        </w:rPr>
        <w:t>Where:</w:t>
      </w:r>
    </w:p>
    <w:p w:rsidR="00FD7CCB" w:rsidRPr="00FD7CCB" w:rsidRDefault="00FD7CCB" w:rsidP="00FD7CCB">
      <w:pPr>
        <w:pStyle w:val="fp-2"/>
        <w:rPr>
          <w:sz w:val="22"/>
          <w:szCs w:val="22"/>
        </w:rPr>
      </w:pPr>
      <w:r w:rsidRPr="00FD7CCB">
        <w:rPr>
          <w:sz w:val="22"/>
          <w:szCs w:val="22"/>
        </w:rPr>
        <w:t>X</w:t>
      </w:r>
      <w:r w:rsidRPr="00FD7CCB">
        <w:rPr>
          <w:sz w:val="22"/>
          <w:szCs w:val="22"/>
          <w:vertAlign w:val="subscript"/>
        </w:rPr>
        <w:t>CO2</w:t>
      </w:r>
      <w:r w:rsidRPr="00FD7CCB">
        <w:rPr>
          <w:sz w:val="22"/>
          <w:szCs w:val="22"/>
        </w:rPr>
        <w:t xml:space="preserve"> = CO</w:t>
      </w:r>
      <w:r w:rsidRPr="00FD7CCB">
        <w:rPr>
          <w:sz w:val="22"/>
          <w:szCs w:val="22"/>
          <w:vertAlign w:val="subscript"/>
        </w:rPr>
        <w:t>2</w:t>
      </w:r>
      <w:r w:rsidRPr="00FD7CCB">
        <w:rPr>
          <w:sz w:val="22"/>
          <w:szCs w:val="22"/>
        </w:rPr>
        <w:t xml:space="preserve"> correction factor, percent.</w:t>
      </w:r>
    </w:p>
    <w:p w:rsidR="00FD7CCB" w:rsidRPr="00FD7CCB" w:rsidRDefault="00FD7CCB" w:rsidP="00FD7CCB">
      <w:pPr>
        <w:pStyle w:val="fp-2"/>
        <w:rPr>
          <w:sz w:val="22"/>
          <w:szCs w:val="22"/>
        </w:rPr>
      </w:pPr>
      <w:r w:rsidRPr="00FD7CCB">
        <w:rPr>
          <w:sz w:val="22"/>
          <w:szCs w:val="22"/>
        </w:rPr>
        <w:t>5.9 = 20.9 percent O</w:t>
      </w:r>
      <w:r w:rsidRPr="00FD7CCB">
        <w:rPr>
          <w:sz w:val="22"/>
          <w:szCs w:val="22"/>
          <w:vertAlign w:val="subscript"/>
        </w:rPr>
        <w:t>2</w:t>
      </w:r>
      <w:r w:rsidRPr="00FD7CCB">
        <w:rPr>
          <w:sz w:val="22"/>
          <w:szCs w:val="22"/>
        </w:rPr>
        <w:t>—15 percent O</w:t>
      </w:r>
      <w:r w:rsidRPr="00FD7CCB">
        <w:rPr>
          <w:sz w:val="22"/>
          <w:szCs w:val="22"/>
          <w:vertAlign w:val="subscript"/>
        </w:rPr>
        <w:t>2</w:t>
      </w:r>
      <w:r w:rsidRPr="00FD7CCB">
        <w:rPr>
          <w:sz w:val="22"/>
          <w:szCs w:val="22"/>
        </w:rPr>
        <w:t>, the defined O</w:t>
      </w:r>
      <w:r w:rsidRPr="00FD7CCB">
        <w:rPr>
          <w:sz w:val="22"/>
          <w:szCs w:val="22"/>
          <w:vertAlign w:val="subscript"/>
        </w:rPr>
        <w:t>2</w:t>
      </w:r>
      <w:r w:rsidRPr="00FD7CCB">
        <w:rPr>
          <w:sz w:val="22"/>
          <w:szCs w:val="22"/>
        </w:rPr>
        <w:t xml:space="preserve"> correction value, percent.</w:t>
      </w:r>
    </w:p>
    <w:p w:rsidR="00FD7CCB" w:rsidRPr="00FD7CCB" w:rsidRDefault="00FD7CCB" w:rsidP="00FD7CCB">
      <w:pPr>
        <w:pStyle w:val="NormalWeb"/>
        <w:rPr>
          <w:sz w:val="22"/>
          <w:szCs w:val="22"/>
        </w:rPr>
      </w:pPr>
      <w:r w:rsidRPr="00FD7CCB">
        <w:rPr>
          <w:sz w:val="22"/>
          <w:szCs w:val="22"/>
        </w:rPr>
        <w:t>(iii) Calculate the CO, THC, and formaldehyde gas concentrations adjusted to 15 percent O</w:t>
      </w:r>
      <w:r w:rsidRPr="00FD7CCB">
        <w:rPr>
          <w:sz w:val="22"/>
          <w:szCs w:val="22"/>
          <w:vertAlign w:val="subscript"/>
        </w:rPr>
        <w:t>2</w:t>
      </w:r>
      <w:r w:rsidRPr="00FD7CCB">
        <w:rPr>
          <w:sz w:val="22"/>
          <w:szCs w:val="22"/>
        </w:rPr>
        <w:t xml:space="preserve"> using CO</w:t>
      </w:r>
      <w:r w:rsidRPr="00FD7CCB">
        <w:rPr>
          <w:sz w:val="22"/>
          <w:szCs w:val="22"/>
          <w:vertAlign w:val="subscript"/>
        </w:rPr>
        <w:t>2</w:t>
      </w:r>
      <w:r w:rsidRPr="00FD7CCB">
        <w:rPr>
          <w:sz w:val="22"/>
          <w:szCs w:val="22"/>
        </w:rPr>
        <w:t xml:space="preserve"> as follows:</w:t>
      </w:r>
    </w:p>
    <w:p w:rsidR="00FD7CCB" w:rsidRPr="00FD7CCB" w:rsidRDefault="00FD7CCB" w:rsidP="00FD7CCB">
      <w:pPr>
        <w:rPr>
          <w:szCs w:val="22"/>
        </w:rPr>
      </w:pPr>
      <w:r w:rsidRPr="00FD7CCB">
        <w:rPr>
          <w:noProof/>
          <w:szCs w:val="22"/>
        </w:rPr>
        <w:drawing>
          <wp:inline distT="0" distB="0" distL="0" distR="0">
            <wp:extent cx="1391285" cy="278130"/>
            <wp:effectExtent l="0" t="0" r="0" b="7620"/>
            <wp:docPr id="87" name="Picture 87"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eCFR graphic er30ja13.010.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91285" cy="278130"/>
                    </a:xfrm>
                    <a:prstGeom prst="rect">
                      <a:avLst/>
                    </a:prstGeom>
                    <a:noFill/>
                    <a:ln>
                      <a:noFill/>
                    </a:ln>
                  </pic:spPr>
                </pic:pic>
              </a:graphicData>
            </a:graphic>
          </wp:inline>
        </w:drawing>
      </w:r>
    </w:p>
    <w:p w:rsidR="00FD7CCB" w:rsidRPr="00FD7CCB" w:rsidRDefault="00FD7CCB" w:rsidP="00FD7CCB">
      <w:pPr>
        <w:pStyle w:val="fp"/>
        <w:rPr>
          <w:sz w:val="22"/>
          <w:szCs w:val="22"/>
        </w:rPr>
      </w:pPr>
      <w:r w:rsidRPr="00FD7CCB">
        <w:rPr>
          <w:sz w:val="22"/>
          <w:szCs w:val="22"/>
        </w:rPr>
        <w:t>Where:</w:t>
      </w:r>
    </w:p>
    <w:p w:rsidR="00FD7CCB" w:rsidRPr="00FD7CCB" w:rsidRDefault="00FD7CCB" w:rsidP="00FD7CCB">
      <w:pPr>
        <w:pStyle w:val="fp-2"/>
        <w:rPr>
          <w:sz w:val="22"/>
          <w:szCs w:val="22"/>
        </w:rPr>
      </w:pPr>
      <w:r w:rsidRPr="00FD7CCB">
        <w:rPr>
          <w:sz w:val="22"/>
          <w:szCs w:val="22"/>
        </w:rPr>
        <w:t>C</w:t>
      </w:r>
      <w:r w:rsidRPr="00FD7CCB">
        <w:rPr>
          <w:sz w:val="22"/>
          <w:szCs w:val="22"/>
          <w:vertAlign w:val="subscript"/>
        </w:rPr>
        <w:t>adj</w:t>
      </w:r>
      <w:r w:rsidRPr="00FD7CCB">
        <w:rPr>
          <w:sz w:val="22"/>
          <w:szCs w:val="22"/>
        </w:rPr>
        <w:t xml:space="preserve"> = Calculated concentration of CO, THC, or formaldehyde adjusted to 15 percent O</w:t>
      </w:r>
      <w:r w:rsidRPr="00FD7CCB">
        <w:rPr>
          <w:sz w:val="22"/>
          <w:szCs w:val="22"/>
          <w:vertAlign w:val="subscript"/>
        </w:rPr>
        <w:t>2</w:t>
      </w:r>
      <w:r w:rsidRPr="00FD7CCB">
        <w:rPr>
          <w:sz w:val="22"/>
          <w:szCs w:val="22"/>
        </w:rPr>
        <w:t>.</w:t>
      </w:r>
    </w:p>
    <w:p w:rsidR="00FD7CCB" w:rsidRPr="00FD7CCB" w:rsidRDefault="00FD7CCB" w:rsidP="00FD7CCB">
      <w:pPr>
        <w:pStyle w:val="fp-2"/>
        <w:rPr>
          <w:sz w:val="22"/>
          <w:szCs w:val="22"/>
        </w:rPr>
      </w:pPr>
      <w:r w:rsidRPr="00FD7CCB">
        <w:rPr>
          <w:sz w:val="22"/>
          <w:szCs w:val="22"/>
        </w:rPr>
        <w:t>C</w:t>
      </w:r>
      <w:r w:rsidRPr="00FD7CCB">
        <w:rPr>
          <w:sz w:val="22"/>
          <w:szCs w:val="22"/>
          <w:vertAlign w:val="subscript"/>
        </w:rPr>
        <w:t>d</w:t>
      </w:r>
      <w:r w:rsidRPr="00FD7CCB">
        <w:rPr>
          <w:sz w:val="22"/>
          <w:szCs w:val="22"/>
        </w:rPr>
        <w:t xml:space="preserve"> = Measured concentration of CO, THC, or formaldehyde, uncorrected.</w:t>
      </w:r>
    </w:p>
    <w:p w:rsidR="00FD7CCB" w:rsidRPr="00FD7CCB" w:rsidRDefault="00FD7CCB" w:rsidP="00FD7CCB">
      <w:pPr>
        <w:pStyle w:val="fp-2"/>
        <w:rPr>
          <w:sz w:val="22"/>
          <w:szCs w:val="22"/>
        </w:rPr>
      </w:pPr>
      <w:r w:rsidRPr="00FD7CCB">
        <w:rPr>
          <w:sz w:val="22"/>
          <w:szCs w:val="22"/>
        </w:rPr>
        <w:t>X</w:t>
      </w:r>
      <w:r w:rsidRPr="00FD7CCB">
        <w:rPr>
          <w:sz w:val="22"/>
          <w:szCs w:val="22"/>
          <w:vertAlign w:val="subscript"/>
        </w:rPr>
        <w:t>CO2</w:t>
      </w:r>
      <w:r w:rsidRPr="00FD7CCB">
        <w:rPr>
          <w:sz w:val="22"/>
          <w:szCs w:val="22"/>
        </w:rPr>
        <w:t xml:space="preserve"> = CO</w:t>
      </w:r>
      <w:r w:rsidRPr="00FD7CCB">
        <w:rPr>
          <w:sz w:val="22"/>
          <w:szCs w:val="22"/>
          <w:vertAlign w:val="subscript"/>
        </w:rPr>
        <w:t>2</w:t>
      </w:r>
      <w:r w:rsidRPr="00FD7CCB">
        <w:rPr>
          <w:sz w:val="22"/>
          <w:szCs w:val="22"/>
        </w:rPr>
        <w:t xml:space="preserve"> correction factor, percent.</w:t>
      </w:r>
    </w:p>
    <w:p w:rsidR="00FD7CCB" w:rsidRPr="00FD7CCB" w:rsidRDefault="00FD7CCB" w:rsidP="00FD7CCB">
      <w:pPr>
        <w:pStyle w:val="fp-2"/>
        <w:rPr>
          <w:sz w:val="22"/>
          <w:szCs w:val="22"/>
        </w:rPr>
      </w:pPr>
      <w:r w:rsidRPr="00FD7CCB">
        <w:rPr>
          <w:sz w:val="22"/>
          <w:szCs w:val="22"/>
        </w:rPr>
        <w:t>%CO</w:t>
      </w:r>
      <w:r w:rsidRPr="00FD7CCB">
        <w:rPr>
          <w:sz w:val="22"/>
          <w:szCs w:val="22"/>
          <w:vertAlign w:val="subscript"/>
        </w:rPr>
        <w:t>2</w:t>
      </w:r>
      <w:r w:rsidRPr="00FD7CCB">
        <w:rPr>
          <w:sz w:val="22"/>
          <w:szCs w:val="22"/>
        </w:rPr>
        <w:t xml:space="preserve"> = Measured CO</w:t>
      </w:r>
      <w:r w:rsidRPr="00FD7CCB">
        <w:rPr>
          <w:sz w:val="22"/>
          <w:szCs w:val="22"/>
          <w:vertAlign w:val="subscript"/>
        </w:rPr>
        <w:t>2</w:t>
      </w:r>
      <w:r w:rsidRPr="00FD7CCB">
        <w:rPr>
          <w:sz w:val="22"/>
          <w:szCs w:val="22"/>
        </w:rPr>
        <w:t xml:space="preserve"> concentration measured, dry basis, percent.</w:t>
      </w:r>
    </w:p>
    <w:p w:rsidR="00FD7CCB" w:rsidRPr="00FD7CCB" w:rsidRDefault="00FD7CCB" w:rsidP="00FD7CCB">
      <w:pPr>
        <w:pStyle w:val="NormalWeb"/>
        <w:rPr>
          <w:sz w:val="22"/>
          <w:szCs w:val="22"/>
        </w:rPr>
      </w:pPr>
      <w:r w:rsidRPr="00FD7CCB">
        <w:rPr>
          <w:sz w:val="22"/>
          <w:szCs w:val="22"/>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FD7CCB" w:rsidRPr="00FD7CCB" w:rsidRDefault="00FD7CCB" w:rsidP="00FD7CCB">
      <w:pPr>
        <w:pStyle w:val="NormalWeb"/>
        <w:rPr>
          <w:sz w:val="22"/>
          <w:szCs w:val="22"/>
        </w:rPr>
      </w:pPr>
      <w:r w:rsidRPr="00FD7CCB">
        <w:rPr>
          <w:sz w:val="22"/>
          <w:szCs w:val="22"/>
        </w:rPr>
        <w:lastRenderedPageBreak/>
        <w:t>(g) If you petition the Administrator for approval of operating limitations, your petition must include the information described in paragraphs (g)(1) through (5) of this section.</w:t>
      </w:r>
    </w:p>
    <w:p w:rsidR="00FD7CCB" w:rsidRPr="00FD7CCB" w:rsidRDefault="00FD7CCB" w:rsidP="00FD7CCB">
      <w:pPr>
        <w:pStyle w:val="NormalWeb"/>
        <w:rPr>
          <w:sz w:val="22"/>
          <w:szCs w:val="22"/>
        </w:rPr>
      </w:pPr>
      <w:r w:rsidRPr="00FD7CCB">
        <w:rPr>
          <w:sz w:val="22"/>
          <w:szCs w:val="22"/>
        </w:rPr>
        <w:t>(1) Identification of the specific parameters you propose to use as operating limitations;</w:t>
      </w:r>
    </w:p>
    <w:p w:rsidR="00FD7CCB" w:rsidRPr="00FD7CCB" w:rsidRDefault="00FD7CCB" w:rsidP="00FD7CCB">
      <w:pPr>
        <w:pStyle w:val="NormalWeb"/>
        <w:rPr>
          <w:sz w:val="22"/>
          <w:szCs w:val="22"/>
        </w:rPr>
      </w:pPr>
      <w:r w:rsidRPr="00FD7CCB">
        <w:rPr>
          <w:sz w:val="22"/>
          <w:szCs w:val="22"/>
        </w:rPr>
        <w:t>(2) A discussion of the relationship between these parameters and HAP emissions, identifying how HAP emissions change with changes in these parameters, and how limitations on these parameters will serve to limit HAP emissions;</w:t>
      </w:r>
    </w:p>
    <w:p w:rsidR="00FD7CCB" w:rsidRPr="00FD7CCB" w:rsidRDefault="00FD7CCB" w:rsidP="00FD7CCB">
      <w:pPr>
        <w:pStyle w:val="NormalWeb"/>
        <w:rPr>
          <w:sz w:val="22"/>
          <w:szCs w:val="22"/>
        </w:rPr>
      </w:pPr>
      <w:r w:rsidRPr="00FD7CCB">
        <w:rPr>
          <w:sz w:val="22"/>
          <w:szCs w:val="22"/>
        </w:rPr>
        <w:t>(3) A discussion of how you will establish the upper and/or lower values for these parameters which will establish the limits on these parameters in the operating limitations;</w:t>
      </w:r>
    </w:p>
    <w:p w:rsidR="00FD7CCB" w:rsidRPr="00FD7CCB" w:rsidRDefault="00FD7CCB" w:rsidP="00FD7CCB">
      <w:pPr>
        <w:pStyle w:val="NormalWeb"/>
        <w:rPr>
          <w:sz w:val="22"/>
          <w:szCs w:val="22"/>
        </w:rPr>
      </w:pPr>
      <w:r w:rsidRPr="00FD7CCB">
        <w:rPr>
          <w:sz w:val="22"/>
          <w:szCs w:val="22"/>
        </w:rPr>
        <w:t>(4) A discussion identifying the methods you will use to measure and the instruments you will use to monitor these parameters, as well as the relative accuracy and precision of these methods and instruments; and</w:t>
      </w:r>
    </w:p>
    <w:p w:rsidR="00FD7CCB" w:rsidRPr="00FD7CCB" w:rsidRDefault="00FD7CCB" w:rsidP="00FD7CCB">
      <w:pPr>
        <w:pStyle w:val="NormalWeb"/>
        <w:rPr>
          <w:sz w:val="22"/>
          <w:szCs w:val="22"/>
        </w:rPr>
      </w:pPr>
      <w:r w:rsidRPr="00FD7CCB">
        <w:rPr>
          <w:sz w:val="22"/>
          <w:szCs w:val="22"/>
        </w:rPr>
        <w:t>(5) A discussion identifying the frequency and methods for recalibrating the instruments you will use for monitoring these parameters.</w:t>
      </w:r>
    </w:p>
    <w:p w:rsidR="00FD7CCB" w:rsidRPr="00FD7CCB" w:rsidRDefault="00FD7CCB" w:rsidP="00FD7CCB">
      <w:pPr>
        <w:pStyle w:val="NormalWeb"/>
        <w:rPr>
          <w:sz w:val="22"/>
          <w:szCs w:val="22"/>
        </w:rPr>
      </w:pPr>
      <w:r w:rsidRPr="00FD7CCB">
        <w:rPr>
          <w:sz w:val="22"/>
          <w:szCs w:val="22"/>
        </w:rPr>
        <w:t>(h) If you petition the Administrator for approval of no operating limitations, your petition must include the information described in paragraphs (h)(1) through (7) of this section.</w:t>
      </w:r>
    </w:p>
    <w:p w:rsidR="00FD7CCB" w:rsidRPr="00FD7CCB" w:rsidRDefault="00FD7CCB" w:rsidP="00FD7CCB">
      <w:pPr>
        <w:pStyle w:val="NormalWeb"/>
        <w:rPr>
          <w:sz w:val="22"/>
          <w:szCs w:val="22"/>
        </w:rPr>
      </w:pPr>
      <w:r w:rsidRPr="00FD7CCB">
        <w:rPr>
          <w:sz w:val="22"/>
          <w:szCs w:val="22"/>
        </w:rPr>
        <w:t>(1) Identification of the parameters associated with operation of the stationary RICE and any emission control device which could change intentionally (</w:t>
      </w:r>
      <w:r w:rsidRPr="00FD7CCB">
        <w:rPr>
          <w:i/>
          <w:iCs/>
          <w:sz w:val="22"/>
          <w:szCs w:val="22"/>
        </w:rPr>
        <w:t>e.g.,</w:t>
      </w:r>
      <w:r w:rsidRPr="00FD7CCB">
        <w:rPr>
          <w:sz w:val="22"/>
          <w:szCs w:val="22"/>
        </w:rPr>
        <w:t xml:space="preserve"> operator adjustment, automatic controller adjustment, etc.) or unintentionally (</w:t>
      </w:r>
      <w:r w:rsidRPr="00FD7CCB">
        <w:rPr>
          <w:i/>
          <w:iCs/>
          <w:sz w:val="22"/>
          <w:szCs w:val="22"/>
        </w:rPr>
        <w:t>e.g.,</w:t>
      </w:r>
      <w:r w:rsidRPr="00FD7CCB">
        <w:rPr>
          <w:sz w:val="22"/>
          <w:szCs w:val="22"/>
        </w:rPr>
        <w:t xml:space="preserve"> wear and tear, error, etc.) on a routine basis or over time;</w:t>
      </w:r>
    </w:p>
    <w:p w:rsidR="00FD7CCB" w:rsidRPr="00FD7CCB" w:rsidRDefault="00FD7CCB" w:rsidP="00FD7CCB">
      <w:pPr>
        <w:pStyle w:val="NormalWeb"/>
        <w:rPr>
          <w:sz w:val="22"/>
          <w:szCs w:val="22"/>
        </w:rPr>
      </w:pPr>
      <w:r w:rsidRPr="00FD7CCB">
        <w:rPr>
          <w:sz w:val="22"/>
          <w:szCs w:val="22"/>
        </w:rPr>
        <w:t>(2) A discussion of the relationship, if any, between changes in the parameters and changes in HAP emissions;</w:t>
      </w:r>
    </w:p>
    <w:p w:rsidR="00FD7CCB" w:rsidRPr="00FD7CCB" w:rsidRDefault="00FD7CCB" w:rsidP="00FD7CCB">
      <w:pPr>
        <w:pStyle w:val="NormalWeb"/>
        <w:rPr>
          <w:sz w:val="22"/>
          <w:szCs w:val="22"/>
        </w:rPr>
      </w:pPr>
      <w:r w:rsidRPr="00FD7CCB">
        <w:rPr>
          <w:sz w:val="22"/>
          <w:szCs w:val="22"/>
        </w:rPr>
        <w:t>(3) For the parameters which could change in such a way as to increase HAP emissions, a discussion of whether establishing limitations on the parameters would serve to limit HAP emissions;</w:t>
      </w:r>
    </w:p>
    <w:p w:rsidR="00FD7CCB" w:rsidRPr="00FD7CCB" w:rsidRDefault="00FD7CCB" w:rsidP="00FD7CCB">
      <w:pPr>
        <w:pStyle w:val="NormalWeb"/>
        <w:rPr>
          <w:sz w:val="22"/>
          <w:szCs w:val="22"/>
        </w:rPr>
      </w:pPr>
      <w:r w:rsidRPr="00FD7CCB">
        <w:rPr>
          <w:sz w:val="22"/>
          <w:szCs w:val="22"/>
        </w:rPr>
        <w:t>(4) For the parameters which could change in such a way as to increase HAP emissions, a discussion of how you could establish upper and/or lower values for the parameters which would establish limits on the parameters in operating limitations;</w:t>
      </w:r>
    </w:p>
    <w:p w:rsidR="00FD7CCB" w:rsidRPr="00FD7CCB" w:rsidRDefault="00FD7CCB" w:rsidP="00FD7CCB">
      <w:pPr>
        <w:pStyle w:val="NormalWeb"/>
        <w:rPr>
          <w:sz w:val="22"/>
          <w:szCs w:val="22"/>
        </w:rPr>
      </w:pPr>
      <w:r w:rsidRPr="00FD7CCB">
        <w:rPr>
          <w:sz w:val="22"/>
          <w:szCs w:val="22"/>
        </w:rPr>
        <w:t>(5) For the parameters, a discussion identifying the methods you could use to measure them and the instruments you could use to monitor them, as well as the relative accuracy and precision of the methods and instruments;</w:t>
      </w:r>
    </w:p>
    <w:p w:rsidR="00FD7CCB" w:rsidRPr="00FD7CCB" w:rsidRDefault="00FD7CCB" w:rsidP="00FD7CCB">
      <w:pPr>
        <w:pStyle w:val="NormalWeb"/>
        <w:rPr>
          <w:sz w:val="22"/>
          <w:szCs w:val="22"/>
        </w:rPr>
      </w:pPr>
      <w:r w:rsidRPr="00FD7CCB">
        <w:rPr>
          <w:sz w:val="22"/>
          <w:szCs w:val="22"/>
        </w:rPr>
        <w:t>(6) For the parameters, a discussion identifying the frequency and methods for recalibrating the instruments you could use to monitor them; and</w:t>
      </w:r>
    </w:p>
    <w:p w:rsidR="00FD7CCB" w:rsidRPr="00FD7CCB" w:rsidRDefault="00FD7CCB" w:rsidP="00FD7CCB">
      <w:pPr>
        <w:pStyle w:val="NormalWeb"/>
        <w:rPr>
          <w:sz w:val="22"/>
          <w:szCs w:val="22"/>
        </w:rPr>
      </w:pPr>
      <w:r w:rsidRPr="00FD7CCB">
        <w:rPr>
          <w:sz w:val="22"/>
          <w:szCs w:val="22"/>
        </w:rPr>
        <w:t>(7) A discussion of why, from your point of view, it is infeasible or unreasonable to adopt the parameters as operating limitations.</w:t>
      </w:r>
    </w:p>
    <w:p w:rsidR="00FD7CCB" w:rsidRPr="00FD7CCB" w:rsidRDefault="00FD7CCB" w:rsidP="00FD7CCB">
      <w:pPr>
        <w:pStyle w:val="NormalWeb"/>
        <w:rPr>
          <w:sz w:val="22"/>
          <w:szCs w:val="22"/>
        </w:rPr>
      </w:pPr>
      <w:r w:rsidRPr="00FD7CCB">
        <w:rPr>
          <w:sz w:val="22"/>
          <w:szCs w:val="22"/>
        </w:rPr>
        <w:t xml:space="preserve">(i)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w:t>
      </w:r>
      <w:r w:rsidRPr="00FD7CCB">
        <w:rPr>
          <w:sz w:val="22"/>
          <w:szCs w:val="22"/>
        </w:rPr>
        <w:lastRenderedPageBreak/>
        <w:t>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FD7CCB" w:rsidRPr="00FD7CCB" w:rsidRDefault="00FD7CCB" w:rsidP="00FD7CCB">
      <w:pPr>
        <w:pStyle w:val="cita"/>
        <w:rPr>
          <w:sz w:val="22"/>
          <w:szCs w:val="22"/>
        </w:rPr>
      </w:pPr>
      <w:r w:rsidRPr="00FD7CCB">
        <w:rPr>
          <w:sz w:val="22"/>
          <w:szCs w:val="22"/>
        </w:rPr>
        <w:t>[69 FR 33506, June 15, 2004, as amended at 75 FR 9676, Mar. 3, 2010; 78 FR 6702, Jan. 30, 2013]</w:t>
      </w:r>
    </w:p>
    <w:p w:rsidR="00FD7CCB" w:rsidRPr="00FD7CCB" w:rsidRDefault="00FD7CCB" w:rsidP="00FD7CCB">
      <w:pPr>
        <w:pStyle w:val="Heading2"/>
        <w:rPr>
          <w:rFonts w:ascii="Times New Roman" w:hAnsi="Times New Roman" w:cs="Times New Roman"/>
          <w:sz w:val="22"/>
          <w:szCs w:val="22"/>
        </w:rPr>
      </w:pPr>
      <w:bookmarkStart w:id="70" w:name="se40.15.63_16625"/>
      <w:bookmarkEnd w:id="70"/>
      <w:r w:rsidRPr="00FD7CCB">
        <w:rPr>
          <w:rFonts w:ascii="Times New Roman" w:hAnsi="Times New Roman" w:cs="Times New Roman"/>
          <w:sz w:val="22"/>
          <w:szCs w:val="22"/>
        </w:rPr>
        <w:t>§63.6625   What are my monitoring, installation, collection, operation, and maintenance requirements?</w:t>
      </w:r>
    </w:p>
    <w:p w:rsidR="00FD7CCB" w:rsidRPr="00FD7CCB" w:rsidRDefault="00FD7CCB" w:rsidP="00FD7CCB">
      <w:pPr>
        <w:pStyle w:val="NormalWeb"/>
        <w:rPr>
          <w:sz w:val="22"/>
          <w:szCs w:val="22"/>
        </w:rPr>
      </w:pPr>
      <w:r w:rsidRPr="00FD7CCB">
        <w:rPr>
          <w:sz w:val="22"/>
          <w:szCs w:val="22"/>
        </w:rPr>
        <w:t>(a) If you elect to install a CEMS as specified in Table 5 of this subpart, you must install, operate, and maintain a CEMS to monitor CO and either O</w:t>
      </w:r>
      <w:r w:rsidRPr="00FD7CCB">
        <w:rPr>
          <w:sz w:val="22"/>
          <w:szCs w:val="22"/>
          <w:vertAlign w:val="subscript"/>
        </w:rPr>
        <w:t>2</w:t>
      </w:r>
      <w:r w:rsidRPr="00FD7CCB">
        <w:rPr>
          <w:sz w:val="22"/>
          <w:szCs w:val="22"/>
        </w:rPr>
        <w:t xml:space="preserve"> or CO</w:t>
      </w:r>
      <w:r w:rsidRPr="00FD7CCB">
        <w:rPr>
          <w:sz w:val="22"/>
          <w:szCs w:val="22"/>
          <w:vertAlign w:val="subscript"/>
        </w:rPr>
        <w:t>2</w:t>
      </w:r>
      <w:r w:rsidRPr="00FD7CCB">
        <w:rPr>
          <w:sz w:val="22"/>
          <w:szCs w:val="22"/>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FD7CCB" w:rsidRPr="00FD7CCB" w:rsidRDefault="00FD7CCB" w:rsidP="00FD7CCB">
      <w:pPr>
        <w:pStyle w:val="NormalWeb"/>
        <w:rPr>
          <w:sz w:val="22"/>
          <w:szCs w:val="22"/>
        </w:rPr>
      </w:pPr>
      <w:r w:rsidRPr="00FD7CCB">
        <w:rPr>
          <w:sz w:val="22"/>
          <w:szCs w:val="22"/>
        </w:rPr>
        <w:t>(1) Each CEMS must be installed, operated, and maintained according to the applicable performance specifications of 40 CFR part 60, appendix B.</w:t>
      </w:r>
    </w:p>
    <w:p w:rsidR="00FD7CCB" w:rsidRPr="00FD7CCB" w:rsidRDefault="00FD7CCB" w:rsidP="00FD7CCB">
      <w:pPr>
        <w:pStyle w:val="NormalWeb"/>
        <w:rPr>
          <w:sz w:val="22"/>
          <w:szCs w:val="22"/>
        </w:rPr>
      </w:pPr>
      <w:r w:rsidRPr="00FD7CCB">
        <w:rPr>
          <w:sz w:val="22"/>
          <w:szCs w:val="22"/>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FD7CCB" w:rsidRPr="00FD7CCB" w:rsidRDefault="00FD7CCB" w:rsidP="00FD7CCB">
      <w:pPr>
        <w:pStyle w:val="NormalWeb"/>
        <w:rPr>
          <w:sz w:val="22"/>
          <w:szCs w:val="22"/>
        </w:rPr>
      </w:pPr>
      <w:r w:rsidRPr="00FD7CCB">
        <w:rPr>
          <w:sz w:val="22"/>
          <w:szCs w:val="22"/>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FD7CCB" w:rsidRPr="00FD7CCB" w:rsidRDefault="00FD7CCB" w:rsidP="00FD7CCB">
      <w:pPr>
        <w:pStyle w:val="NormalWeb"/>
        <w:rPr>
          <w:sz w:val="22"/>
          <w:szCs w:val="22"/>
        </w:rPr>
      </w:pPr>
      <w:r w:rsidRPr="00FD7CCB">
        <w:rPr>
          <w:sz w:val="22"/>
          <w:szCs w:val="22"/>
        </w:rPr>
        <w:t>(4) The CEMS data must be reduced as specified in §63.8(g)(2) and recorded in parts per million or parts per billion (as appropriate for the applicable limitation) at 15 percent oxygen or the equivalent CO</w:t>
      </w:r>
      <w:r w:rsidRPr="00FD7CCB">
        <w:rPr>
          <w:sz w:val="22"/>
          <w:szCs w:val="22"/>
          <w:vertAlign w:val="subscript"/>
        </w:rPr>
        <w:t>2</w:t>
      </w:r>
      <w:r w:rsidRPr="00FD7CCB">
        <w:rPr>
          <w:sz w:val="22"/>
          <w:szCs w:val="22"/>
        </w:rPr>
        <w:t xml:space="preserve"> concentration.</w:t>
      </w:r>
    </w:p>
    <w:p w:rsidR="00FD7CCB" w:rsidRPr="00FD7CCB" w:rsidRDefault="00FD7CCB" w:rsidP="00FD7CCB">
      <w:pPr>
        <w:pStyle w:val="NormalWeb"/>
        <w:rPr>
          <w:sz w:val="22"/>
          <w:szCs w:val="22"/>
        </w:rPr>
      </w:pPr>
      <w:r w:rsidRPr="00FD7CCB">
        <w:rPr>
          <w:sz w:val="22"/>
          <w:szCs w:val="22"/>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FD7CCB" w:rsidRPr="00FD7CCB" w:rsidRDefault="00FD7CCB" w:rsidP="00FD7CCB">
      <w:pPr>
        <w:pStyle w:val="NormalWeb"/>
        <w:rPr>
          <w:sz w:val="22"/>
          <w:szCs w:val="22"/>
        </w:rPr>
      </w:pPr>
      <w:r w:rsidRPr="00FD7CCB">
        <w:rPr>
          <w:sz w:val="22"/>
          <w:szCs w:val="22"/>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FD7CCB" w:rsidRPr="00FD7CCB" w:rsidRDefault="00FD7CCB" w:rsidP="00FD7CCB">
      <w:pPr>
        <w:pStyle w:val="NormalWeb"/>
        <w:rPr>
          <w:sz w:val="22"/>
          <w:szCs w:val="22"/>
        </w:rPr>
      </w:pPr>
      <w:r w:rsidRPr="00FD7CCB">
        <w:rPr>
          <w:sz w:val="22"/>
          <w:szCs w:val="22"/>
        </w:rPr>
        <w:t>(i) The performance criteria and design specifications for the monitoring system equipment, including the sample interface, detector signal analyzer, and data acquisition and calculations;</w:t>
      </w:r>
    </w:p>
    <w:p w:rsidR="00FD7CCB" w:rsidRPr="00FD7CCB" w:rsidRDefault="00FD7CCB" w:rsidP="00FD7CCB">
      <w:pPr>
        <w:pStyle w:val="NormalWeb"/>
        <w:rPr>
          <w:sz w:val="22"/>
          <w:szCs w:val="22"/>
        </w:rPr>
      </w:pPr>
      <w:r w:rsidRPr="00FD7CCB">
        <w:rPr>
          <w:sz w:val="22"/>
          <w:szCs w:val="22"/>
        </w:rPr>
        <w:lastRenderedPageBreak/>
        <w:t>(ii) Sampling interface (</w:t>
      </w:r>
      <w:r w:rsidRPr="00FD7CCB">
        <w:rPr>
          <w:i/>
          <w:iCs/>
          <w:sz w:val="22"/>
          <w:szCs w:val="22"/>
        </w:rPr>
        <w:t>e.g.,</w:t>
      </w:r>
      <w:r w:rsidRPr="00FD7CCB">
        <w:rPr>
          <w:sz w:val="22"/>
          <w:szCs w:val="22"/>
        </w:rPr>
        <w:t xml:space="preserve"> thermocouple) location such that the monitoring system will provide representative measurements;</w:t>
      </w:r>
    </w:p>
    <w:p w:rsidR="00FD7CCB" w:rsidRPr="00FD7CCB" w:rsidRDefault="00FD7CCB" w:rsidP="00FD7CCB">
      <w:pPr>
        <w:pStyle w:val="NormalWeb"/>
        <w:rPr>
          <w:sz w:val="22"/>
          <w:szCs w:val="22"/>
        </w:rPr>
      </w:pPr>
      <w:r w:rsidRPr="00FD7CCB">
        <w:rPr>
          <w:sz w:val="22"/>
          <w:szCs w:val="22"/>
        </w:rPr>
        <w:t>(iii) Equipment performance evaluations, system accuracy audits, or other audit procedures;</w:t>
      </w:r>
    </w:p>
    <w:p w:rsidR="00FD7CCB" w:rsidRPr="00FD7CCB" w:rsidRDefault="00FD7CCB" w:rsidP="00FD7CCB">
      <w:pPr>
        <w:pStyle w:val="NormalWeb"/>
        <w:rPr>
          <w:sz w:val="22"/>
          <w:szCs w:val="22"/>
        </w:rPr>
      </w:pPr>
      <w:r w:rsidRPr="00FD7CCB">
        <w:rPr>
          <w:sz w:val="22"/>
          <w:szCs w:val="22"/>
        </w:rPr>
        <w:t>(iv) Ongoing operation and maintenance procedures in accordance with provisions in §63.8(c)(1)(ii) and (c)(3); and</w:t>
      </w:r>
    </w:p>
    <w:p w:rsidR="00FD7CCB" w:rsidRPr="00FD7CCB" w:rsidRDefault="00FD7CCB" w:rsidP="00FD7CCB">
      <w:pPr>
        <w:pStyle w:val="NormalWeb"/>
        <w:rPr>
          <w:sz w:val="22"/>
          <w:szCs w:val="22"/>
        </w:rPr>
      </w:pPr>
      <w:r w:rsidRPr="00FD7CCB">
        <w:rPr>
          <w:sz w:val="22"/>
          <w:szCs w:val="22"/>
        </w:rPr>
        <w:t>(v) Ongoing reporting and recordkeeping procedures in accordance with provisions in §63.10(c), (e)(1), and (e)(2)(i).</w:t>
      </w:r>
    </w:p>
    <w:p w:rsidR="00FD7CCB" w:rsidRPr="00FD7CCB" w:rsidRDefault="00FD7CCB" w:rsidP="00FD7CCB">
      <w:pPr>
        <w:pStyle w:val="NormalWeb"/>
        <w:rPr>
          <w:sz w:val="22"/>
          <w:szCs w:val="22"/>
        </w:rPr>
      </w:pPr>
      <w:r w:rsidRPr="00FD7CCB">
        <w:rPr>
          <w:sz w:val="22"/>
          <w:szCs w:val="22"/>
        </w:rPr>
        <w:t>(2) You must install, operate, and maintain each CPMS in continuous operation according to the procedures in your site-specific monitoring plan.</w:t>
      </w:r>
    </w:p>
    <w:p w:rsidR="00FD7CCB" w:rsidRPr="00FD7CCB" w:rsidRDefault="00FD7CCB" w:rsidP="00FD7CCB">
      <w:pPr>
        <w:pStyle w:val="NormalWeb"/>
        <w:rPr>
          <w:sz w:val="22"/>
          <w:szCs w:val="22"/>
        </w:rPr>
      </w:pPr>
      <w:r w:rsidRPr="00FD7CCB">
        <w:rPr>
          <w:sz w:val="22"/>
          <w:szCs w:val="22"/>
        </w:rPr>
        <w:t>(3) The CPMS must collect data at least once every 15 minutes (see also §63.6635).</w:t>
      </w:r>
    </w:p>
    <w:p w:rsidR="00FD7CCB" w:rsidRPr="00FD7CCB" w:rsidRDefault="00FD7CCB" w:rsidP="00FD7CCB">
      <w:pPr>
        <w:pStyle w:val="NormalWeb"/>
        <w:rPr>
          <w:sz w:val="22"/>
          <w:szCs w:val="22"/>
        </w:rPr>
      </w:pPr>
      <w:r w:rsidRPr="00FD7CCB">
        <w:rPr>
          <w:sz w:val="22"/>
          <w:szCs w:val="22"/>
        </w:rPr>
        <w:t>(4) For a CPMS for measuring temperature range, the temperature sensor must have a minimum tolerance of 2.8 degrees Celsius (5 degrees Fahrenheit) or 1 percent of the measurement range, whichever is larger.</w:t>
      </w:r>
    </w:p>
    <w:p w:rsidR="00FD7CCB" w:rsidRPr="00FD7CCB" w:rsidRDefault="00FD7CCB" w:rsidP="00FD7CCB">
      <w:pPr>
        <w:pStyle w:val="NormalWeb"/>
        <w:rPr>
          <w:sz w:val="22"/>
          <w:szCs w:val="22"/>
        </w:rPr>
      </w:pPr>
      <w:r w:rsidRPr="00FD7CCB">
        <w:rPr>
          <w:sz w:val="22"/>
          <w:szCs w:val="22"/>
        </w:rPr>
        <w:t>(5) You must conduct the CPMS equipment performance evaluation, system accuracy audits, or other audit procedures specified in your site-specific monitoring plan at least annually.</w:t>
      </w:r>
    </w:p>
    <w:p w:rsidR="00FD7CCB" w:rsidRPr="00FD7CCB" w:rsidRDefault="00FD7CCB" w:rsidP="00FD7CCB">
      <w:pPr>
        <w:pStyle w:val="NormalWeb"/>
        <w:rPr>
          <w:sz w:val="22"/>
          <w:szCs w:val="22"/>
        </w:rPr>
      </w:pPr>
      <w:r w:rsidRPr="00FD7CCB">
        <w:rPr>
          <w:sz w:val="22"/>
          <w:szCs w:val="22"/>
        </w:rPr>
        <w:t>(6) You must conduct a performance evaluation of each CPMS in accordance with your site-specific monitoring plan.</w:t>
      </w:r>
    </w:p>
    <w:p w:rsidR="00FD7CCB" w:rsidRPr="00FD7CCB" w:rsidRDefault="00FD7CCB" w:rsidP="00FD7CCB">
      <w:pPr>
        <w:pStyle w:val="NormalWeb"/>
        <w:rPr>
          <w:sz w:val="22"/>
          <w:szCs w:val="22"/>
        </w:rPr>
      </w:pPr>
      <w:r w:rsidRPr="00FD7CCB">
        <w:rPr>
          <w:sz w:val="22"/>
          <w:szCs w:val="22"/>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FD7CCB" w:rsidRPr="00FD7CCB" w:rsidRDefault="00FD7CCB" w:rsidP="00FD7CCB">
      <w:pPr>
        <w:pStyle w:val="NormalWeb"/>
        <w:rPr>
          <w:sz w:val="22"/>
          <w:szCs w:val="22"/>
        </w:rPr>
      </w:pPr>
      <w:r w:rsidRPr="00FD7CCB">
        <w:rPr>
          <w:sz w:val="22"/>
          <w:szCs w:val="22"/>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FD7CCB" w:rsidRPr="00FD7CCB" w:rsidRDefault="00FD7CCB" w:rsidP="00FD7CCB">
      <w:pPr>
        <w:pStyle w:val="NormalWeb"/>
        <w:rPr>
          <w:sz w:val="22"/>
          <w:szCs w:val="22"/>
        </w:rPr>
      </w:pPr>
      <w:r w:rsidRPr="00FD7CCB">
        <w:rPr>
          <w:sz w:val="22"/>
          <w:szCs w:val="22"/>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FD7CCB" w:rsidRPr="00FD7CCB" w:rsidRDefault="00FD7CCB" w:rsidP="00FD7CCB">
      <w:pPr>
        <w:pStyle w:val="NormalWeb"/>
        <w:rPr>
          <w:sz w:val="22"/>
          <w:szCs w:val="22"/>
        </w:rPr>
      </w:pPr>
      <w:r w:rsidRPr="00FD7CCB">
        <w:rPr>
          <w:sz w:val="22"/>
          <w:szCs w:val="22"/>
        </w:rPr>
        <w:t>(1) An existing stationary RICE with a site rating of less than 100 HP located at a major source of HAP emissions;</w:t>
      </w:r>
    </w:p>
    <w:p w:rsidR="00FD7CCB" w:rsidRPr="00FD7CCB" w:rsidRDefault="00FD7CCB" w:rsidP="00FD7CCB">
      <w:pPr>
        <w:pStyle w:val="NormalWeb"/>
        <w:rPr>
          <w:sz w:val="22"/>
          <w:szCs w:val="22"/>
        </w:rPr>
      </w:pPr>
      <w:r w:rsidRPr="00FD7CCB">
        <w:rPr>
          <w:sz w:val="22"/>
          <w:szCs w:val="22"/>
        </w:rPr>
        <w:t>(2) An existing emergency or black start stationary RICE with a site rating of less than or equal to 500 HP located at a major source of HAP emissions;</w:t>
      </w:r>
    </w:p>
    <w:p w:rsidR="00FD7CCB" w:rsidRPr="00FD7CCB" w:rsidRDefault="00FD7CCB" w:rsidP="00FD7CCB">
      <w:pPr>
        <w:pStyle w:val="NormalWeb"/>
        <w:rPr>
          <w:sz w:val="22"/>
          <w:szCs w:val="22"/>
        </w:rPr>
      </w:pPr>
      <w:r w:rsidRPr="00FD7CCB">
        <w:rPr>
          <w:sz w:val="22"/>
          <w:szCs w:val="22"/>
        </w:rPr>
        <w:t>(3) An existing emergency or black start stationary RICE located at an area source of HAP emissions;</w:t>
      </w:r>
    </w:p>
    <w:p w:rsidR="00FD7CCB" w:rsidRPr="00FD7CCB" w:rsidRDefault="00FD7CCB" w:rsidP="00FD7CCB">
      <w:pPr>
        <w:pStyle w:val="NormalWeb"/>
        <w:rPr>
          <w:sz w:val="22"/>
          <w:szCs w:val="22"/>
        </w:rPr>
      </w:pPr>
      <w:r w:rsidRPr="00FD7CCB">
        <w:rPr>
          <w:sz w:val="22"/>
          <w:szCs w:val="22"/>
        </w:rPr>
        <w:lastRenderedPageBreak/>
        <w:t>(4) An existing non-emergency, non-black start stationary CI RICE with a site rating less than or equal to 300 HP located at an area source of HAP emissions;</w:t>
      </w:r>
    </w:p>
    <w:p w:rsidR="00FD7CCB" w:rsidRPr="00FD7CCB" w:rsidRDefault="00FD7CCB" w:rsidP="00FD7CCB">
      <w:pPr>
        <w:pStyle w:val="NormalWeb"/>
        <w:rPr>
          <w:sz w:val="22"/>
          <w:szCs w:val="22"/>
        </w:rPr>
      </w:pPr>
      <w:r w:rsidRPr="00FD7CCB">
        <w:rPr>
          <w:sz w:val="22"/>
          <w:szCs w:val="22"/>
        </w:rPr>
        <w:t>(5) An existing non-emergency, non-black start 2SLB stationary RICE located at an area source of HAP emissions;</w:t>
      </w:r>
    </w:p>
    <w:p w:rsidR="00FD7CCB" w:rsidRPr="00FD7CCB" w:rsidRDefault="00FD7CCB" w:rsidP="00FD7CCB">
      <w:pPr>
        <w:pStyle w:val="NormalWeb"/>
        <w:rPr>
          <w:sz w:val="22"/>
          <w:szCs w:val="22"/>
        </w:rPr>
      </w:pPr>
      <w:r w:rsidRPr="00FD7CCB">
        <w:rPr>
          <w:sz w:val="22"/>
          <w:szCs w:val="22"/>
        </w:rPr>
        <w:t>(6) An existing non-emergency, non-black start stationary RICE located at an area source of HAP emissions which combusts landfill or digester gas equivalent to 10 percent or more of the gross heat input on an annual basis.</w:t>
      </w:r>
    </w:p>
    <w:p w:rsidR="00FD7CCB" w:rsidRPr="00FD7CCB" w:rsidRDefault="00FD7CCB" w:rsidP="00FD7CCB">
      <w:pPr>
        <w:pStyle w:val="NormalWeb"/>
        <w:rPr>
          <w:sz w:val="22"/>
          <w:szCs w:val="22"/>
        </w:rPr>
      </w:pPr>
      <w:r w:rsidRPr="00FD7CCB">
        <w:rPr>
          <w:sz w:val="22"/>
          <w:szCs w:val="22"/>
        </w:rPr>
        <w:t>(7) An existing non-emergency, non-black start 4SLB stationary RICE with a site rating less than or equal to 500 HP located at an area source of HAP emissions;</w:t>
      </w:r>
    </w:p>
    <w:p w:rsidR="00FD7CCB" w:rsidRPr="00FD7CCB" w:rsidRDefault="00FD7CCB" w:rsidP="00FD7CCB">
      <w:pPr>
        <w:pStyle w:val="NormalWeb"/>
        <w:rPr>
          <w:sz w:val="22"/>
          <w:szCs w:val="22"/>
        </w:rPr>
      </w:pPr>
      <w:r w:rsidRPr="00FD7CCB">
        <w:rPr>
          <w:sz w:val="22"/>
          <w:szCs w:val="22"/>
        </w:rPr>
        <w:t>(8) An existing non-emergency, non-black start 4SRB stationary RICE with a site rating less than or equal to 500 HP located at an area source of HAP emissions;</w:t>
      </w:r>
    </w:p>
    <w:p w:rsidR="00FD7CCB" w:rsidRPr="00FD7CCB" w:rsidRDefault="00FD7CCB" w:rsidP="00FD7CCB">
      <w:pPr>
        <w:pStyle w:val="NormalWeb"/>
        <w:rPr>
          <w:sz w:val="22"/>
          <w:szCs w:val="22"/>
        </w:rPr>
      </w:pPr>
      <w:r w:rsidRPr="00FD7CCB">
        <w:rPr>
          <w:sz w:val="22"/>
          <w:szCs w:val="22"/>
        </w:rPr>
        <w:t>(9) An existing, non-emergency, non-black start 4SLB stationary RICE with a site rating greater than 500 HP located at an area source of HAP emissions that is operated 24 hours or less per calendar year; and</w:t>
      </w:r>
    </w:p>
    <w:p w:rsidR="00FD7CCB" w:rsidRPr="00FD7CCB" w:rsidRDefault="00FD7CCB" w:rsidP="00FD7CCB">
      <w:pPr>
        <w:pStyle w:val="NormalWeb"/>
        <w:rPr>
          <w:sz w:val="22"/>
          <w:szCs w:val="22"/>
        </w:rPr>
      </w:pPr>
      <w:r w:rsidRPr="00FD7CCB">
        <w:rPr>
          <w:sz w:val="22"/>
          <w:szCs w:val="22"/>
        </w:rPr>
        <w:t>(10) An existing, non-emergency, non-black start 4SRB stationary RICE with a site rating greater than 500 HP located at an area source of HAP emissions that is operated 24 hours or less per calendar year.</w:t>
      </w:r>
    </w:p>
    <w:p w:rsidR="00FD7CCB" w:rsidRPr="00FD7CCB" w:rsidRDefault="00FD7CCB" w:rsidP="00FD7CCB">
      <w:pPr>
        <w:pStyle w:val="NormalWeb"/>
        <w:rPr>
          <w:sz w:val="22"/>
          <w:szCs w:val="22"/>
        </w:rPr>
      </w:pPr>
      <w:r w:rsidRPr="00FD7CCB">
        <w:rPr>
          <w:sz w:val="22"/>
          <w:szCs w:val="22"/>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FD7CCB" w:rsidRPr="00FD7CCB" w:rsidRDefault="00FD7CCB" w:rsidP="00FD7CCB">
      <w:pPr>
        <w:pStyle w:val="NormalWeb"/>
        <w:rPr>
          <w:sz w:val="22"/>
          <w:szCs w:val="22"/>
        </w:rPr>
      </w:pPr>
      <w:r w:rsidRPr="00FD7CCB">
        <w:rPr>
          <w:sz w:val="22"/>
          <w:szCs w:val="22"/>
        </w:rPr>
        <w:t>(g)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§63.6603(b)(1) or §63.6603(b)(2) do not have to meet the requirements of this paragraph (g). Existing CI engines located on offshore vessels that meet §63.6603(c) do not have to meet the requirements of this paragraph (g).</w:t>
      </w:r>
    </w:p>
    <w:p w:rsidR="00FD7CCB" w:rsidRPr="00FD7CCB" w:rsidRDefault="00FD7CCB" w:rsidP="00FD7CCB">
      <w:pPr>
        <w:pStyle w:val="NormalWeb"/>
        <w:rPr>
          <w:sz w:val="22"/>
          <w:szCs w:val="22"/>
        </w:rPr>
      </w:pPr>
      <w:r w:rsidRPr="00FD7CCB">
        <w:rPr>
          <w:sz w:val="22"/>
          <w:szCs w:val="22"/>
        </w:rPr>
        <w:t>(1) Install a closed crankcase ventilation system that prevents crankcase emissions from being emitted to the atmosphere, or</w:t>
      </w:r>
    </w:p>
    <w:p w:rsidR="00FD7CCB" w:rsidRPr="00FD7CCB" w:rsidRDefault="00FD7CCB" w:rsidP="00FD7CCB">
      <w:pPr>
        <w:pStyle w:val="NormalWeb"/>
        <w:rPr>
          <w:sz w:val="22"/>
          <w:szCs w:val="22"/>
        </w:rPr>
      </w:pPr>
      <w:r w:rsidRPr="00FD7CCB">
        <w:rPr>
          <w:sz w:val="22"/>
          <w:szCs w:val="22"/>
        </w:rPr>
        <w:t>(2) Install an open crankcase filtration emission control system that reduces emissions from the crankcase by filtering the exhaust stream to remove oil mist, particulates and metals.</w:t>
      </w:r>
    </w:p>
    <w:p w:rsidR="00FD7CCB" w:rsidRPr="00FD7CCB" w:rsidRDefault="00FD7CCB" w:rsidP="00FD7CCB">
      <w:pPr>
        <w:pStyle w:val="NormalWeb"/>
        <w:rPr>
          <w:sz w:val="22"/>
          <w:szCs w:val="22"/>
        </w:rPr>
      </w:pPr>
      <w:r w:rsidRPr="00FD7CCB">
        <w:rPr>
          <w:sz w:val="22"/>
          <w:szCs w:val="22"/>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FD7CCB" w:rsidRPr="00FD7CCB" w:rsidRDefault="00FD7CCB" w:rsidP="00FD7CCB">
      <w:pPr>
        <w:pStyle w:val="NormalWeb"/>
        <w:rPr>
          <w:sz w:val="22"/>
          <w:szCs w:val="22"/>
        </w:rPr>
      </w:pPr>
      <w:r w:rsidRPr="00FD7CCB">
        <w:rPr>
          <w:sz w:val="22"/>
          <w:szCs w:val="22"/>
        </w:rPr>
        <w:lastRenderedPageBreak/>
        <w:t xml:space="preserve">(i) If you own or operate a stationary CI engine that is subject to the work, operation or management practices in items 1 or 2 of Table 2c to this subpart or in items 1 or 4 of Table 2d to this subpart, you have the option of utilizing an oil analysis program </w:t>
      </w:r>
      <w:proofErr w:type="gramStart"/>
      <w:r w:rsidRPr="00FD7CCB">
        <w:rPr>
          <w:sz w:val="22"/>
          <w:szCs w:val="22"/>
        </w:rPr>
        <w:t>in order to</w:t>
      </w:r>
      <w:proofErr w:type="gramEnd"/>
      <w:r w:rsidRPr="00FD7CCB">
        <w:rPr>
          <w:sz w:val="22"/>
          <w:szCs w:val="22"/>
        </w:rPr>
        <w:t xml:space="preserve">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w:t>
      </w:r>
      <w:proofErr w:type="gramStart"/>
      <w:r w:rsidRPr="00FD7CCB">
        <w:rPr>
          <w:sz w:val="22"/>
          <w:szCs w:val="22"/>
        </w:rPr>
        <w:t>all of these</w:t>
      </w:r>
      <w:proofErr w:type="gramEnd"/>
      <w:r w:rsidRPr="00FD7CCB">
        <w:rPr>
          <w:sz w:val="22"/>
          <w:szCs w:val="22"/>
        </w:rPr>
        <w:t xml:space="preserv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FD7CCB" w:rsidRPr="00FD7CCB" w:rsidRDefault="00FD7CCB" w:rsidP="00FD7CCB">
      <w:pPr>
        <w:pStyle w:val="NormalWeb"/>
        <w:rPr>
          <w:sz w:val="22"/>
          <w:szCs w:val="22"/>
        </w:rPr>
      </w:pPr>
      <w:r w:rsidRPr="00FD7CCB">
        <w:rPr>
          <w:sz w:val="22"/>
          <w:szCs w:val="22"/>
        </w:rPr>
        <w:t xml:space="preserve">(j) If you own or operate a stationary SI engine that is subject to the work, operation or management practices in items 6, 7, or 8 of Table 2c to this subpart or in items 5, 6, 7, 9, or 11 of Table 2d to this subpart, you have the option of utilizing an oil analysis program </w:t>
      </w:r>
      <w:proofErr w:type="gramStart"/>
      <w:r w:rsidRPr="00FD7CCB">
        <w:rPr>
          <w:sz w:val="22"/>
          <w:szCs w:val="22"/>
        </w:rPr>
        <w:t>in order to</w:t>
      </w:r>
      <w:proofErr w:type="gramEnd"/>
      <w:r w:rsidRPr="00FD7CCB">
        <w:rPr>
          <w:sz w:val="22"/>
          <w:szCs w:val="22"/>
        </w:rPr>
        <w:t xml:space="preserve">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w:t>
      </w:r>
      <w:proofErr w:type="gramStart"/>
      <w:r w:rsidRPr="00FD7CCB">
        <w:rPr>
          <w:sz w:val="22"/>
          <w:szCs w:val="22"/>
        </w:rPr>
        <w:t>all of these</w:t>
      </w:r>
      <w:proofErr w:type="gramEnd"/>
      <w:r w:rsidRPr="00FD7CCB">
        <w:rPr>
          <w:sz w:val="22"/>
          <w:szCs w:val="22"/>
        </w:rPr>
        <w:t xml:space="preserv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FD7CCB" w:rsidRPr="00FD7CCB" w:rsidRDefault="00FD7CCB" w:rsidP="00FD7CCB">
      <w:pPr>
        <w:pStyle w:val="cita"/>
        <w:rPr>
          <w:sz w:val="22"/>
          <w:szCs w:val="22"/>
        </w:rPr>
      </w:pPr>
      <w:r w:rsidRPr="00FD7CCB">
        <w:rPr>
          <w:sz w:val="22"/>
          <w:szCs w:val="22"/>
        </w:rPr>
        <w:t>[69 FR 33506, June 15, 2004, as amended at 73 FR 3606, Jan. 18, 2008; 75 FR 9676, Mar. 3, 2010; 75 FR 51589, Aug. 20, 2010; 76 FR 12866, Mar. 9, 2011; 78 FR 6703, Jan. 30, 2013]</w:t>
      </w:r>
    </w:p>
    <w:p w:rsidR="00FD7CCB" w:rsidRPr="00FD7CCB" w:rsidRDefault="00FD7CCB" w:rsidP="00FD7CCB">
      <w:pPr>
        <w:pStyle w:val="Heading2"/>
        <w:rPr>
          <w:rFonts w:ascii="Times New Roman" w:hAnsi="Times New Roman" w:cs="Times New Roman"/>
          <w:sz w:val="22"/>
          <w:szCs w:val="22"/>
        </w:rPr>
      </w:pPr>
      <w:bookmarkStart w:id="71" w:name="se40.15.63_16630"/>
      <w:bookmarkEnd w:id="71"/>
      <w:r w:rsidRPr="00FD7CCB">
        <w:rPr>
          <w:rFonts w:ascii="Times New Roman" w:hAnsi="Times New Roman" w:cs="Times New Roman"/>
          <w:sz w:val="22"/>
          <w:szCs w:val="22"/>
        </w:rPr>
        <w:t>§63.6630   How do I demonstrate initial compliance with the emission limitations, operating limitations, and other requirements?</w:t>
      </w:r>
    </w:p>
    <w:p w:rsidR="00FD7CCB" w:rsidRPr="00FD7CCB" w:rsidRDefault="00FD7CCB" w:rsidP="00FD7CCB">
      <w:pPr>
        <w:pStyle w:val="NormalWeb"/>
        <w:rPr>
          <w:sz w:val="22"/>
          <w:szCs w:val="22"/>
        </w:rPr>
      </w:pPr>
      <w:r w:rsidRPr="00FD7CCB">
        <w:rPr>
          <w:sz w:val="22"/>
          <w:szCs w:val="22"/>
        </w:rPr>
        <w:t>(a) You must demonstrate initial compliance with each emission limitation, operating limitation, and other requirement that applies to you according to Table 5 of this subpart.</w:t>
      </w:r>
    </w:p>
    <w:p w:rsidR="00FD7CCB" w:rsidRPr="00FD7CCB" w:rsidRDefault="00FD7CCB" w:rsidP="00FD7CCB">
      <w:pPr>
        <w:pStyle w:val="NormalWeb"/>
        <w:rPr>
          <w:sz w:val="22"/>
          <w:szCs w:val="22"/>
        </w:rPr>
      </w:pPr>
      <w:r w:rsidRPr="00FD7CCB">
        <w:rPr>
          <w:sz w:val="22"/>
          <w:szCs w:val="22"/>
        </w:rPr>
        <w:t>(b) During the initial performance test, you must establish each operating limitation in Tables 1b and 2b of this subpart that applies to you.</w:t>
      </w:r>
    </w:p>
    <w:p w:rsidR="00FD7CCB" w:rsidRPr="00FD7CCB" w:rsidRDefault="00FD7CCB" w:rsidP="00FD7CCB">
      <w:pPr>
        <w:pStyle w:val="NormalWeb"/>
        <w:rPr>
          <w:sz w:val="22"/>
          <w:szCs w:val="22"/>
        </w:rPr>
      </w:pPr>
      <w:r w:rsidRPr="00FD7CCB">
        <w:rPr>
          <w:sz w:val="22"/>
          <w:szCs w:val="22"/>
        </w:rPr>
        <w:t>(c) You must submit the Notification of Compliance Status containing the results of the initial compliance demonstration according to the requirements in §63.6645.</w:t>
      </w:r>
    </w:p>
    <w:p w:rsidR="00FD7CCB" w:rsidRPr="00FD7CCB" w:rsidRDefault="00FD7CCB" w:rsidP="00FD7CCB">
      <w:pPr>
        <w:pStyle w:val="NormalWeb"/>
        <w:rPr>
          <w:sz w:val="22"/>
          <w:szCs w:val="22"/>
        </w:rPr>
      </w:pPr>
      <w:r w:rsidRPr="00FD7CCB">
        <w:rPr>
          <w:sz w:val="22"/>
          <w:szCs w:val="22"/>
        </w:rPr>
        <w:lastRenderedPageBreak/>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FD7CCB" w:rsidRPr="00FD7CCB" w:rsidRDefault="00FD7CCB" w:rsidP="00FD7CCB">
      <w:pPr>
        <w:pStyle w:val="NormalWeb"/>
        <w:rPr>
          <w:sz w:val="22"/>
          <w:szCs w:val="22"/>
        </w:rPr>
      </w:pPr>
      <w:r w:rsidRPr="00FD7CCB">
        <w:rPr>
          <w:sz w:val="22"/>
          <w:szCs w:val="22"/>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FD7CCB" w:rsidRPr="00FD7CCB" w:rsidRDefault="00FD7CCB" w:rsidP="00FD7CCB">
      <w:pPr>
        <w:pStyle w:val="NormalWeb"/>
        <w:rPr>
          <w:sz w:val="22"/>
          <w:szCs w:val="22"/>
        </w:rPr>
      </w:pPr>
      <w:r w:rsidRPr="00FD7CCB">
        <w:rPr>
          <w:sz w:val="22"/>
          <w:szCs w:val="22"/>
        </w:rPr>
        <w:t>(1) The compliance demonstration must consist of at least three test runs.</w:t>
      </w:r>
    </w:p>
    <w:p w:rsidR="00FD7CCB" w:rsidRPr="00FD7CCB" w:rsidRDefault="00FD7CCB" w:rsidP="00FD7CCB">
      <w:pPr>
        <w:pStyle w:val="NormalWeb"/>
        <w:rPr>
          <w:sz w:val="22"/>
          <w:szCs w:val="22"/>
        </w:rPr>
      </w:pPr>
      <w:r w:rsidRPr="00FD7CCB">
        <w:rPr>
          <w:sz w:val="22"/>
          <w:szCs w:val="22"/>
        </w:rPr>
        <w:t xml:space="preserve">(2) Each test run must be of at least </w:t>
      </w:r>
      <w:proofErr w:type="gramStart"/>
      <w:r w:rsidRPr="00FD7CCB">
        <w:rPr>
          <w:sz w:val="22"/>
          <w:szCs w:val="22"/>
        </w:rPr>
        <w:t>15 minute</w:t>
      </w:r>
      <w:proofErr w:type="gramEnd"/>
      <w:r w:rsidRPr="00FD7CCB">
        <w:rPr>
          <w:sz w:val="22"/>
          <w:szCs w:val="22"/>
        </w:rPr>
        <w:t xml:space="preserve"> duration, except that each test conducted using the method in appendix A to this subpart must consist of at least one measurement cycle and include at least 2 minutes of test data phase measurement.</w:t>
      </w:r>
    </w:p>
    <w:p w:rsidR="00FD7CCB" w:rsidRPr="00FD7CCB" w:rsidRDefault="00FD7CCB" w:rsidP="00FD7CCB">
      <w:pPr>
        <w:pStyle w:val="NormalWeb"/>
        <w:rPr>
          <w:sz w:val="22"/>
          <w:szCs w:val="22"/>
        </w:rPr>
      </w:pPr>
      <w:r w:rsidRPr="00FD7CCB">
        <w:rPr>
          <w:sz w:val="22"/>
          <w:szCs w:val="22"/>
        </w:rPr>
        <w:t>(3) If you are demonstrating compliance with the CO concentration or CO percent reduction requirement, you must measure CO emissions using one of the CO measurement methods specified in Table 4 of this subpart, or using appendix A to this subpart.</w:t>
      </w:r>
    </w:p>
    <w:p w:rsidR="00FD7CCB" w:rsidRPr="00FD7CCB" w:rsidRDefault="00FD7CCB" w:rsidP="00FD7CCB">
      <w:pPr>
        <w:pStyle w:val="NormalWeb"/>
        <w:rPr>
          <w:sz w:val="22"/>
          <w:szCs w:val="22"/>
        </w:rPr>
      </w:pPr>
      <w:r w:rsidRPr="00FD7CCB">
        <w:rPr>
          <w:sz w:val="22"/>
          <w:szCs w:val="22"/>
        </w:rPr>
        <w:t>(4) If you are demonstrating compliance with the THC percent reduction requirement, you must measure THC emissions using Method 25A, reported as propane, of 40 CFR part 60, appendix A.</w:t>
      </w:r>
    </w:p>
    <w:p w:rsidR="00FD7CCB" w:rsidRPr="00FD7CCB" w:rsidRDefault="00FD7CCB" w:rsidP="00FD7CCB">
      <w:pPr>
        <w:pStyle w:val="NormalWeb"/>
        <w:rPr>
          <w:sz w:val="22"/>
          <w:szCs w:val="22"/>
        </w:rPr>
      </w:pPr>
      <w:r w:rsidRPr="00FD7CCB">
        <w:rPr>
          <w:sz w:val="22"/>
          <w:szCs w:val="22"/>
        </w:rPr>
        <w:t>(5) You must measure O</w:t>
      </w:r>
      <w:r w:rsidRPr="00FD7CCB">
        <w:rPr>
          <w:sz w:val="22"/>
          <w:szCs w:val="22"/>
          <w:vertAlign w:val="subscript"/>
        </w:rPr>
        <w:t>2</w:t>
      </w:r>
      <w:r w:rsidRPr="00FD7CCB">
        <w:rPr>
          <w:sz w:val="22"/>
          <w:szCs w:val="22"/>
        </w:rPr>
        <w:t xml:space="preserve"> using one of the O</w:t>
      </w:r>
      <w:r w:rsidRPr="00FD7CCB">
        <w:rPr>
          <w:sz w:val="22"/>
          <w:szCs w:val="22"/>
          <w:vertAlign w:val="subscript"/>
        </w:rPr>
        <w:t>2</w:t>
      </w:r>
      <w:r w:rsidRPr="00FD7CCB">
        <w:rPr>
          <w:sz w:val="22"/>
          <w:szCs w:val="22"/>
        </w:rPr>
        <w:t xml:space="preserve"> measurement methods specified in Table 4 of this subpart. Measurements to determine O</w:t>
      </w:r>
      <w:r w:rsidRPr="00FD7CCB">
        <w:rPr>
          <w:sz w:val="22"/>
          <w:szCs w:val="22"/>
          <w:vertAlign w:val="subscript"/>
        </w:rPr>
        <w:t>2</w:t>
      </w:r>
      <w:r w:rsidRPr="00FD7CCB">
        <w:rPr>
          <w:sz w:val="22"/>
          <w:szCs w:val="22"/>
        </w:rPr>
        <w:t xml:space="preserve"> concentration must be made at the same time as the measurements for CO or THC concentration.</w:t>
      </w:r>
    </w:p>
    <w:p w:rsidR="00FD7CCB" w:rsidRPr="00FD7CCB" w:rsidRDefault="00FD7CCB" w:rsidP="00FD7CCB">
      <w:pPr>
        <w:pStyle w:val="NormalWeb"/>
        <w:rPr>
          <w:sz w:val="22"/>
          <w:szCs w:val="22"/>
        </w:rPr>
      </w:pPr>
      <w:r w:rsidRPr="00FD7CCB">
        <w:rPr>
          <w:sz w:val="22"/>
          <w:szCs w:val="22"/>
        </w:rPr>
        <w:t>(6) If you are demonstrating compliance with the CO or THC percent reduction requirement, you must measure CO or THC emissions and O</w:t>
      </w:r>
      <w:r w:rsidRPr="00FD7CCB">
        <w:rPr>
          <w:sz w:val="22"/>
          <w:szCs w:val="22"/>
          <w:vertAlign w:val="subscript"/>
        </w:rPr>
        <w:t>2</w:t>
      </w:r>
      <w:r w:rsidRPr="00FD7CCB">
        <w:rPr>
          <w:sz w:val="22"/>
          <w:szCs w:val="22"/>
        </w:rPr>
        <w:t xml:space="preserve"> emissions simultaneously at the inlet and outlet of the control device.</w:t>
      </w:r>
    </w:p>
    <w:p w:rsidR="00FD7CCB" w:rsidRPr="00FD7CCB" w:rsidRDefault="00FD7CCB" w:rsidP="00FD7CCB">
      <w:pPr>
        <w:pStyle w:val="cita"/>
        <w:rPr>
          <w:sz w:val="22"/>
          <w:szCs w:val="22"/>
        </w:rPr>
      </w:pPr>
      <w:r w:rsidRPr="00FD7CCB">
        <w:rPr>
          <w:sz w:val="22"/>
          <w:szCs w:val="22"/>
        </w:rPr>
        <w:t>[69 FR 33506, June 15, 2004, as amended at 78 FR 6704, Jan. 30, 2013]</w:t>
      </w:r>
    </w:p>
    <w:p w:rsidR="00FD7CCB" w:rsidRPr="00FD7CCB" w:rsidRDefault="00FD7CCB" w:rsidP="00FD7CCB">
      <w:pPr>
        <w:pStyle w:val="Heading2"/>
        <w:rPr>
          <w:rFonts w:ascii="Times New Roman" w:hAnsi="Times New Roman" w:cs="Times New Roman"/>
          <w:smallCaps/>
          <w:sz w:val="22"/>
          <w:szCs w:val="22"/>
        </w:rPr>
      </w:pPr>
      <w:bookmarkStart w:id="72" w:name="sg40.15.63_16630.sg4"/>
      <w:bookmarkEnd w:id="72"/>
      <w:r w:rsidRPr="00FD7CCB">
        <w:rPr>
          <w:rFonts w:ascii="Times New Roman" w:hAnsi="Times New Roman" w:cs="Times New Roman"/>
          <w:smallCaps/>
          <w:sz w:val="22"/>
          <w:szCs w:val="22"/>
        </w:rPr>
        <w:t>Continuous Compliance Requirements</w:t>
      </w:r>
    </w:p>
    <w:p w:rsidR="00FD7CCB" w:rsidRPr="00FD7CCB" w:rsidRDefault="00FD7CCB" w:rsidP="00FD7CCB">
      <w:pPr>
        <w:pStyle w:val="Heading2"/>
        <w:rPr>
          <w:rFonts w:ascii="Times New Roman" w:hAnsi="Times New Roman" w:cs="Times New Roman"/>
          <w:sz w:val="22"/>
          <w:szCs w:val="22"/>
        </w:rPr>
      </w:pPr>
      <w:bookmarkStart w:id="73" w:name="se40.15.63_16635"/>
      <w:bookmarkEnd w:id="73"/>
      <w:r w:rsidRPr="00FD7CCB">
        <w:rPr>
          <w:rFonts w:ascii="Times New Roman" w:hAnsi="Times New Roman" w:cs="Times New Roman"/>
          <w:sz w:val="22"/>
          <w:szCs w:val="22"/>
        </w:rPr>
        <w:t>§63.6635   How do I monitor and collect data to demonstrate continuous compliance?</w:t>
      </w:r>
    </w:p>
    <w:p w:rsidR="00FD7CCB" w:rsidRPr="00FD7CCB" w:rsidRDefault="00FD7CCB" w:rsidP="00FD7CCB">
      <w:pPr>
        <w:pStyle w:val="NormalWeb"/>
        <w:rPr>
          <w:sz w:val="22"/>
          <w:szCs w:val="22"/>
        </w:rPr>
      </w:pPr>
      <w:r w:rsidRPr="00FD7CCB">
        <w:rPr>
          <w:sz w:val="22"/>
          <w:szCs w:val="22"/>
        </w:rPr>
        <w:t>(a) If you must comply with emission and operating limitations, you must monitor and collect data according to this section.</w:t>
      </w:r>
    </w:p>
    <w:p w:rsidR="00FD7CCB" w:rsidRPr="00FD7CCB" w:rsidRDefault="00FD7CCB" w:rsidP="00FD7CCB">
      <w:pPr>
        <w:pStyle w:val="NormalWeb"/>
        <w:rPr>
          <w:sz w:val="22"/>
          <w:szCs w:val="22"/>
        </w:rPr>
      </w:pPr>
      <w:r w:rsidRPr="00FD7CCB">
        <w:rPr>
          <w:sz w:val="22"/>
          <w:szCs w:val="22"/>
        </w:rPr>
        <w:t xml:space="preserve">(b) Except for monitor malfunctions, associated repairs, required performance evaluations, and required quality assurance or control activities, you must monitor continuously </w:t>
      </w:r>
      <w:proofErr w:type="gramStart"/>
      <w:r w:rsidRPr="00FD7CCB">
        <w:rPr>
          <w:sz w:val="22"/>
          <w:szCs w:val="22"/>
        </w:rPr>
        <w:t>at all times</w:t>
      </w:r>
      <w:proofErr w:type="gramEnd"/>
      <w:r w:rsidRPr="00FD7CCB">
        <w:rPr>
          <w:sz w:val="22"/>
          <w:szCs w:val="22"/>
        </w:rPr>
        <w:t xml:space="preserve">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864D72" w:rsidRDefault="00864D72">
      <w:pPr>
        <w:rPr>
          <w:szCs w:val="22"/>
        </w:rPr>
      </w:pPr>
      <w:r>
        <w:rPr>
          <w:szCs w:val="22"/>
        </w:rPr>
        <w:br w:type="page"/>
      </w:r>
    </w:p>
    <w:p w:rsidR="00FD7CCB" w:rsidRPr="00FD7CCB" w:rsidRDefault="00FD7CCB" w:rsidP="00FD7CCB">
      <w:pPr>
        <w:pStyle w:val="NormalWeb"/>
        <w:rPr>
          <w:sz w:val="22"/>
          <w:szCs w:val="22"/>
        </w:rPr>
      </w:pPr>
      <w:r w:rsidRPr="00FD7CCB">
        <w:rPr>
          <w:sz w:val="22"/>
          <w:szCs w:val="22"/>
        </w:rPr>
        <w:lastRenderedPageBreak/>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FD7CCB" w:rsidRPr="00FD7CCB" w:rsidRDefault="00FD7CCB" w:rsidP="00FD7CCB">
      <w:pPr>
        <w:pStyle w:val="cita"/>
        <w:rPr>
          <w:sz w:val="22"/>
          <w:szCs w:val="22"/>
        </w:rPr>
      </w:pPr>
      <w:r w:rsidRPr="00FD7CCB">
        <w:rPr>
          <w:sz w:val="22"/>
          <w:szCs w:val="22"/>
        </w:rPr>
        <w:t>[69 FR 33506, June 15, 2004, as amended at 76 FR 12867, Mar. 9, 2011]</w:t>
      </w:r>
    </w:p>
    <w:p w:rsidR="00FD7CCB" w:rsidRPr="00FD7CCB" w:rsidRDefault="00FD7CCB" w:rsidP="00FD7CCB">
      <w:pPr>
        <w:pStyle w:val="Heading2"/>
        <w:rPr>
          <w:rFonts w:ascii="Times New Roman" w:hAnsi="Times New Roman" w:cs="Times New Roman"/>
          <w:sz w:val="22"/>
          <w:szCs w:val="22"/>
        </w:rPr>
      </w:pPr>
      <w:bookmarkStart w:id="74" w:name="se40.15.63_16640"/>
      <w:bookmarkEnd w:id="74"/>
      <w:r w:rsidRPr="00FD7CCB">
        <w:rPr>
          <w:rFonts w:ascii="Times New Roman" w:hAnsi="Times New Roman" w:cs="Times New Roman"/>
          <w:sz w:val="22"/>
          <w:szCs w:val="22"/>
        </w:rPr>
        <w:t>§63.6640   How do I demonstrate continuous compliance with the emission limitations, operating limitations, and other requirements?</w:t>
      </w:r>
    </w:p>
    <w:p w:rsidR="00FD7CCB" w:rsidRPr="00FD7CCB" w:rsidRDefault="00FD7CCB" w:rsidP="00FD7CCB">
      <w:pPr>
        <w:pStyle w:val="NormalWeb"/>
        <w:rPr>
          <w:sz w:val="22"/>
          <w:szCs w:val="22"/>
        </w:rPr>
      </w:pPr>
      <w:r w:rsidRPr="00FD7CCB">
        <w:rPr>
          <w:sz w:val="22"/>
          <w:szCs w:val="22"/>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FD7CCB" w:rsidRPr="00FD7CCB" w:rsidRDefault="00FD7CCB" w:rsidP="00FD7CCB">
      <w:pPr>
        <w:pStyle w:val="NormalWeb"/>
        <w:rPr>
          <w:sz w:val="22"/>
          <w:szCs w:val="22"/>
        </w:rPr>
      </w:pPr>
      <w:r w:rsidRPr="00FD7CCB">
        <w:rPr>
          <w:sz w:val="22"/>
          <w:szCs w:val="22"/>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FD7CCB" w:rsidRPr="00FD7CCB" w:rsidRDefault="00FD7CCB" w:rsidP="00FD7CCB">
      <w:pPr>
        <w:pStyle w:val="NormalWeb"/>
        <w:rPr>
          <w:sz w:val="22"/>
          <w:szCs w:val="22"/>
        </w:rPr>
      </w:pPr>
      <w:r w:rsidRPr="00FD7CCB">
        <w:rPr>
          <w:sz w:val="22"/>
          <w:szCs w:val="22"/>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FD7CCB" w:rsidRPr="00FD7CCB" w:rsidRDefault="00FD7CCB" w:rsidP="00FD7CCB">
      <w:pPr>
        <w:pStyle w:val="NormalWeb"/>
        <w:rPr>
          <w:sz w:val="22"/>
          <w:szCs w:val="22"/>
        </w:rPr>
      </w:pPr>
      <w:r w:rsidRPr="00FD7CCB">
        <w:rPr>
          <w:sz w:val="22"/>
          <w:szCs w:val="22"/>
        </w:rPr>
        <w:t>(1) The compliance demonstration must consist of at least one test run.</w:t>
      </w:r>
    </w:p>
    <w:p w:rsidR="00FD7CCB" w:rsidRPr="00FD7CCB" w:rsidRDefault="00FD7CCB" w:rsidP="00FD7CCB">
      <w:pPr>
        <w:pStyle w:val="NormalWeb"/>
        <w:rPr>
          <w:sz w:val="22"/>
          <w:szCs w:val="22"/>
        </w:rPr>
      </w:pPr>
      <w:r w:rsidRPr="00FD7CCB">
        <w:rPr>
          <w:sz w:val="22"/>
          <w:szCs w:val="22"/>
        </w:rPr>
        <w:t xml:space="preserve">(2) Each test run must be of at least </w:t>
      </w:r>
      <w:proofErr w:type="gramStart"/>
      <w:r w:rsidRPr="00FD7CCB">
        <w:rPr>
          <w:sz w:val="22"/>
          <w:szCs w:val="22"/>
        </w:rPr>
        <w:t>15 minute</w:t>
      </w:r>
      <w:proofErr w:type="gramEnd"/>
      <w:r w:rsidRPr="00FD7CCB">
        <w:rPr>
          <w:sz w:val="22"/>
          <w:szCs w:val="22"/>
        </w:rPr>
        <w:t xml:space="preserve"> duration, except that each test conducted using the method in appendix A to this subpart must consist of at least one measurement cycle and include at least 2 minutes of test data phase measurement.</w:t>
      </w:r>
    </w:p>
    <w:p w:rsidR="00FD7CCB" w:rsidRPr="00FD7CCB" w:rsidRDefault="00FD7CCB" w:rsidP="00FD7CCB">
      <w:pPr>
        <w:pStyle w:val="NormalWeb"/>
        <w:rPr>
          <w:sz w:val="22"/>
          <w:szCs w:val="22"/>
        </w:rPr>
      </w:pPr>
      <w:r w:rsidRPr="00FD7CCB">
        <w:rPr>
          <w:sz w:val="22"/>
          <w:szCs w:val="22"/>
        </w:rPr>
        <w:t>(3) If you are demonstrating compliance with the CO concentration or CO percent reduction requirement, you must measure CO emissions using one of the CO measurement methods specified in Table 4 of this subpart, or using appendix A to this subpart.</w:t>
      </w:r>
    </w:p>
    <w:p w:rsidR="00FD7CCB" w:rsidRPr="00FD7CCB" w:rsidRDefault="00FD7CCB" w:rsidP="00FD7CCB">
      <w:pPr>
        <w:pStyle w:val="NormalWeb"/>
        <w:rPr>
          <w:sz w:val="22"/>
          <w:szCs w:val="22"/>
        </w:rPr>
      </w:pPr>
      <w:r w:rsidRPr="00FD7CCB">
        <w:rPr>
          <w:sz w:val="22"/>
          <w:szCs w:val="22"/>
        </w:rPr>
        <w:t>(4) If you are demonstrating compliance with the THC percent reduction requirement, you must measure THC emissions using Method 25A, reported as propane, of 40 CFR part 60, appendix A.</w:t>
      </w:r>
    </w:p>
    <w:p w:rsidR="00FD7CCB" w:rsidRPr="00FD7CCB" w:rsidRDefault="00FD7CCB" w:rsidP="00FD7CCB">
      <w:pPr>
        <w:pStyle w:val="NormalWeb"/>
        <w:rPr>
          <w:sz w:val="22"/>
          <w:szCs w:val="22"/>
        </w:rPr>
      </w:pPr>
      <w:r w:rsidRPr="00FD7CCB">
        <w:rPr>
          <w:sz w:val="22"/>
          <w:szCs w:val="22"/>
        </w:rPr>
        <w:t>(5) You must measure O</w:t>
      </w:r>
      <w:r w:rsidRPr="00FD7CCB">
        <w:rPr>
          <w:sz w:val="22"/>
          <w:szCs w:val="22"/>
          <w:vertAlign w:val="subscript"/>
        </w:rPr>
        <w:t>2</w:t>
      </w:r>
      <w:r w:rsidRPr="00FD7CCB">
        <w:rPr>
          <w:sz w:val="22"/>
          <w:szCs w:val="22"/>
        </w:rPr>
        <w:t xml:space="preserve"> using one of the O</w:t>
      </w:r>
      <w:r w:rsidRPr="00FD7CCB">
        <w:rPr>
          <w:sz w:val="22"/>
          <w:szCs w:val="22"/>
          <w:vertAlign w:val="subscript"/>
        </w:rPr>
        <w:t>2</w:t>
      </w:r>
      <w:r w:rsidRPr="00FD7CCB">
        <w:rPr>
          <w:sz w:val="22"/>
          <w:szCs w:val="22"/>
        </w:rPr>
        <w:t xml:space="preserve"> measurement methods specified in Table 4 of this subpart. Measurements to determine O</w:t>
      </w:r>
      <w:r w:rsidRPr="00FD7CCB">
        <w:rPr>
          <w:sz w:val="22"/>
          <w:szCs w:val="22"/>
          <w:vertAlign w:val="subscript"/>
        </w:rPr>
        <w:t>2</w:t>
      </w:r>
      <w:r w:rsidRPr="00FD7CCB">
        <w:rPr>
          <w:sz w:val="22"/>
          <w:szCs w:val="22"/>
        </w:rPr>
        <w:t xml:space="preserve"> concentration must be made at the same time as the measurements for CO or THC concentration.</w:t>
      </w:r>
    </w:p>
    <w:p w:rsidR="00FD7CCB" w:rsidRPr="00FD7CCB" w:rsidRDefault="00FD7CCB" w:rsidP="00FD7CCB">
      <w:pPr>
        <w:pStyle w:val="NormalWeb"/>
        <w:rPr>
          <w:sz w:val="22"/>
          <w:szCs w:val="22"/>
        </w:rPr>
      </w:pPr>
      <w:r w:rsidRPr="00FD7CCB">
        <w:rPr>
          <w:sz w:val="22"/>
          <w:szCs w:val="22"/>
        </w:rPr>
        <w:t>(6) If you are demonstrating compliance with the CO or THC percent reduction requirement, you must measure CO or THC emissions and O</w:t>
      </w:r>
      <w:r w:rsidRPr="00FD7CCB">
        <w:rPr>
          <w:sz w:val="22"/>
          <w:szCs w:val="22"/>
          <w:vertAlign w:val="subscript"/>
        </w:rPr>
        <w:t>2</w:t>
      </w:r>
      <w:r w:rsidRPr="00FD7CCB">
        <w:rPr>
          <w:sz w:val="22"/>
          <w:szCs w:val="22"/>
        </w:rPr>
        <w:t xml:space="preserve"> emissions simultaneously at the inlet and outlet of the control device.</w:t>
      </w:r>
    </w:p>
    <w:p w:rsidR="00FD7CCB" w:rsidRPr="00FD7CCB" w:rsidRDefault="00FD7CCB" w:rsidP="00FD7CCB">
      <w:pPr>
        <w:pStyle w:val="NormalWeb"/>
        <w:rPr>
          <w:sz w:val="22"/>
          <w:szCs w:val="22"/>
        </w:rPr>
      </w:pPr>
      <w:r w:rsidRPr="00FD7CCB">
        <w:rPr>
          <w:sz w:val="22"/>
          <w:szCs w:val="22"/>
        </w:rPr>
        <w:t xml:space="preserve">(7) If the results of the annual compliance demonstration show that the emissions exceed the levels specified in Table 6 of this subpart, the stationary RICE must be shut down as soon as safely possible, and appropriate </w:t>
      </w:r>
      <w:r w:rsidRPr="00FD7CCB">
        <w:rPr>
          <w:sz w:val="22"/>
          <w:szCs w:val="22"/>
        </w:rPr>
        <w:lastRenderedPageBreak/>
        <w:t>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FD7CCB" w:rsidRPr="00FD7CCB" w:rsidRDefault="00FD7CCB" w:rsidP="00FD7CCB">
      <w:pPr>
        <w:pStyle w:val="NormalWeb"/>
        <w:rPr>
          <w:sz w:val="22"/>
          <w:szCs w:val="22"/>
        </w:rPr>
      </w:pPr>
      <w:r w:rsidRPr="00FD7CCB">
        <w:rPr>
          <w:sz w:val="22"/>
          <w:szCs w:val="22"/>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FD7CCB" w:rsidRPr="00FD7CCB" w:rsidRDefault="00FD7CCB" w:rsidP="00FD7CCB">
      <w:pPr>
        <w:pStyle w:val="NormalWeb"/>
        <w:rPr>
          <w:sz w:val="22"/>
          <w:szCs w:val="22"/>
        </w:rPr>
      </w:pPr>
      <w:r w:rsidRPr="00FD7CCB">
        <w:rPr>
          <w:sz w:val="22"/>
          <w:szCs w:val="22"/>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FD7CCB" w:rsidRPr="00FD7CCB" w:rsidRDefault="00FD7CCB" w:rsidP="00FD7CCB">
      <w:pPr>
        <w:pStyle w:val="NormalWeb"/>
        <w:rPr>
          <w:sz w:val="22"/>
          <w:szCs w:val="22"/>
        </w:rPr>
      </w:pPr>
      <w:r w:rsidRPr="00FD7CCB">
        <w:rPr>
          <w:sz w:val="22"/>
          <w:szCs w:val="22"/>
        </w:rPr>
        <w:t xml:space="preserve">(f) If you own or operate an emergency stationary RICE, you must operate the emergency stationary RICE according to the requirements in paragraphs (f)(1) through (4) of this section. </w:t>
      </w:r>
      <w:proofErr w:type="gramStart"/>
      <w:r w:rsidRPr="00FD7CCB">
        <w:rPr>
          <w:sz w:val="22"/>
          <w:szCs w:val="22"/>
        </w:rPr>
        <w:t>In order for</w:t>
      </w:r>
      <w:proofErr w:type="gramEnd"/>
      <w:r w:rsidRPr="00FD7CCB">
        <w:rPr>
          <w:sz w:val="22"/>
          <w:szCs w:val="22"/>
        </w:rPr>
        <w:t xml:space="preserve">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FD7CCB" w:rsidRPr="00661FFD" w:rsidRDefault="00FD7CCB" w:rsidP="00FD7CCB">
      <w:pPr>
        <w:pStyle w:val="NormalWeb"/>
        <w:rPr>
          <w:sz w:val="22"/>
          <w:szCs w:val="22"/>
        </w:rPr>
      </w:pPr>
      <w:r w:rsidRPr="00661FFD">
        <w:rPr>
          <w:sz w:val="22"/>
          <w:szCs w:val="22"/>
        </w:rPr>
        <w:t>(1) There is no time limit on the use of emergency stationary RICE in emergency situations.</w:t>
      </w:r>
    </w:p>
    <w:p w:rsidR="00FD7CCB" w:rsidRPr="00661FFD" w:rsidRDefault="00FD7CCB" w:rsidP="00FD7CCB">
      <w:pPr>
        <w:pStyle w:val="NormalWeb"/>
        <w:rPr>
          <w:sz w:val="22"/>
          <w:szCs w:val="22"/>
        </w:rPr>
      </w:pPr>
      <w:r w:rsidRPr="00661FFD">
        <w:rPr>
          <w:sz w:val="22"/>
          <w:szCs w:val="22"/>
        </w:rPr>
        <w:t xml:space="preserve">(2) </w:t>
      </w:r>
      <w:bookmarkStart w:id="75" w:name="_Hlk484166543"/>
      <w:r w:rsidRPr="00661FFD">
        <w:rPr>
          <w:sz w:val="22"/>
          <w:szCs w:val="22"/>
        </w:rPr>
        <w:t>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rsidR="00FD7CCB" w:rsidRPr="00FD7CCB" w:rsidRDefault="00FD7CCB" w:rsidP="00FD7CCB">
      <w:pPr>
        <w:pStyle w:val="NormalWeb"/>
        <w:rPr>
          <w:sz w:val="22"/>
          <w:szCs w:val="22"/>
        </w:rPr>
      </w:pPr>
      <w:r w:rsidRPr="00661FFD">
        <w:rPr>
          <w:sz w:val="22"/>
          <w:szCs w:val="22"/>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FD7CCB" w:rsidRPr="00FD7CCB" w:rsidRDefault="00FD7CCB" w:rsidP="00FD7CCB">
      <w:pPr>
        <w:pStyle w:val="NormalWeb"/>
        <w:rPr>
          <w:sz w:val="22"/>
          <w:szCs w:val="22"/>
        </w:rPr>
      </w:pPr>
      <w:r w:rsidRPr="00FD7CCB">
        <w:rPr>
          <w:sz w:val="22"/>
          <w:szCs w:val="22"/>
        </w:rPr>
        <w:lastRenderedPageBreak/>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rsidR="00FD7CCB" w:rsidRPr="00FD7CCB" w:rsidRDefault="00FD7CCB" w:rsidP="00FD7CCB">
      <w:pPr>
        <w:pStyle w:val="NormalWeb"/>
        <w:rPr>
          <w:sz w:val="22"/>
          <w:szCs w:val="22"/>
        </w:rPr>
      </w:pPr>
      <w:r w:rsidRPr="00FD7CCB">
        <w:rPr>
          <w:sz w:val="22"/>
          <w:szCs w:val="22"/>
        </w:rPr>
        <w:t>(iii) Emergency stationary RICE may be operated for periods where there is a deviation of voltage or frequency of 5 percent or greater below standard voltage or frequency.</w:t>
      </w:r>
    </w:p>
    <w:p w:rsidR="00FD7CCB" w:rsidRPr="00FD7CCB" w:rsidRDefault="00FD7CCB" w:rsidP="00FD7CCB">
      <w:pPr>
        <w:pStyle w:val="NormalWeb"/>
        <w:rPr>
          <w:sz w:val="22"/>
          <w:szCs w:val="22"/>
        </w:rPr>
      </w:pPr>
      <w:bookmarkStart w:id="76" w:name="_Hlk484168147"/>
      <w:bookmarkEnd w:id="75"/>
      <w:r w:rsidRPr="00FD7CCB">
        <w:rPr>
          <w:sz w:val="22"/>
          <w:szCs w:val="22"/>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bookmarkEnd w:id="76"/>
    <w:p w:rsidR="00FD7CCB" w:rsidRPr="00FD7CCB" w:rsidRDefault="00FD7CCB" w:rsidP="00FD7CCB">
      <w:pPr>
        <w:pStyle w:val="NormalWeb"/>
        <w:rPr>
          <w:sz w:val="22"/>
          <w:szCs w:val="22"/>
        </w:rPr>
      </w:pPr>
      <w:r w:rsidRPr="00FD7CCB">
        <w:rPr>
          <w:sz w:val="22"/>
          <w:szCs w:val="22"/>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FD7CCB" w:rsidRPr="00FD7CCB" w:rsidRDefault="00FD7CCB" w:rsidP="00FD7CCB">
      <w:pPr>
        <w:pStyle w:val="NormalWeb"/>
        <w:rPr>
          <w:sz w:val="22"/>
          <w:szCs w:val="22"/>
        </w:rPr>
      </w:pPr>
      <w:r w:rsidRPr="00FD7CCB">
        <w:rPr>
          <w:sz w:val="22"/>
          <w:szCs w:val="22"/>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FD7CCB" w:rsidRPr="00FD7CCB" w:rsidRDefault="00FD7CCB" w:rsidP="00FD7CCB">
      <w:pPr>
        <w:pStyle w:val="NormalWeb"/>
        <w:rPr>
          <w:sz w:val="22"/>
          <w:szCs w:val="22"/>
        </w:rPr>
      </w:pPr>
      <w:r w:rsidRPr="00FD7CCB">
        <w:rPr>
          <w:sz w:val="22"/>
          <w:szCs w:val="22"/>
        </w:rPr>
        <w:t xml:space="preserve">(ii) The 50 hours per year for non-emergency situations can be used to supply power as part of a financial arrangement with another entity if </w:t>
      </w:r>
      <w:proofErr w:type="gramStart"/>
      <w:r w:rsidRPr="00FD7CCB">
        <w:rPr>
          <w:sz w:val="22"/>
          <w:szCs w:val="22"/>
        </w:rPr>
        <w:t>all of</w:t>
      </w:r>
      <w:proofErr w:type="gramEnd"/>
      <w:r w:rsidRPr="00FD7CCB">
        <w:rPr>
          <w:sz w:val="22"/>
          <w:szCs w:val="22"/>
        </w:rPr>
        <w:t xml:space="preserve"> the following conditions are met:</w:t>
      </w:r>
    </w:p>
    <w:p w:rsidR="00FD7CCB" w:rsidRPr="00FD7CCB" w:rsidRDefault="00FD7CCB" w:rsidP="00FD7CCB">
      <w:pPr>
        <w:pStyle w:val="NormalWeb"/>
        <w:rPr>
          <w:sz w:val="22"/>
          <w:szCs w:val="22"/>
        </w:rPr>
      </w:pPr>
      <w:r w:rsidRPr="00FD7CCB">
        <w:rPr>
          <w:sz w:val="22"/>
          <w:szCs w:val="22"/>
        </w:rPr>
        <w:t>(A) The engine is dispatched by the local balancing authority or local transmission and distribution system operator.</w:t>
      </w:r>
    </w:p>
    <w:p w:rsidR="00FD7CCB" w:rsidRPr="00FD7CCB" w:rsidRDefault="00FD7CCB" w:rsidP="00FD7CCB">
      <w:pPr>
        <w:pStyle w:val="NormalWeb"/>
        <w:rPr>
          <w:sz w:val="22"/>
          <w:szCs w:val="22"/>
        </w:rPr>
      </w:pPr>
      <w:r w:rsidRPr="00FD7CCB">
        <w:rPr>
          <w:sz w:val="22"/>
          <w:szCs w:val="22"/>
        </w:rPr>
        <w:t xml:space="preserve">(B) The dispatch is intended to mitigate local transmission and/or distribution limitations </w:t>
      </w:r>
      <w:proofErr w:type="gramStart"/>
      <w:r w:rsidRPr="00FD7CCB">
        <w:rPr>
          <w:sz w:val="22"/>
          <w:szCs w:val="22"/>
        </w:rPr>
        <w:t>so as to</w:t>
      </w:r>
      <w:proofErr w:type="gramEnd"/>
      <w:r w:rsidRPr="00FD7CCB">
        <w:rPr>
          <w:sz w:val="22"/>
          <w:szCs w:val="22"/>
        </w:rPr>
        <w:t xml:space="preserve"> avert potential voltage collapse or line overloads that could lead to the interruption of power supply in a local area or region.</w:t>
      </w:r>
    </w:p>
    <w:p w:rsidR="00FD7CCB" w:rsidRPr="00FD7CCB" w:rsidRDefault="00FD7CCB" w:rsidP="00FD7CCB">
      <w:pPr>
        <w:pStyle w:val="NormalWeb"/>
        <w:rPr>
          <w:sz w:val="22"/>
          <w:szCs w:val="22"/>
        </w:rPr>
      </w:pPr>
      <w:r w:rsidRPr="00FD7CCB">
        <w:rPr>
          <w:sz w:val="22"/>
          <w:szCs w:val="22"/>
        </w:rPr>
        <w:t>(C) The dispatch follows reliability, emergency operation or similar protocols that follow specific NERC, regional, state, public utility commission or local standards or guidelines.</w:t>
      </w:r>
    </w:p>
    <w:p w:rsidR="00FD7CCB" w:rsidRPr="00FD7CCB" w:rsidRDefault="00FD7CCB" w:rsidP="00FD7CCB">
      <w:pPr>
        <w:pStyle w:val="NormalWeb"/>
        <w:rPr>
          <w:sz w:val="22"/>
          <w:szCs w:val="22"/>
        </w:rPr>
      </w:pPr>
      <w:r w:rsidRPr="00FD7CCB">
        <w:rPr>
          <w:sz w:val="22"/>
          <w:szCs w:val="22"/>
        </w:rPr>
        <w:t>(D) The power is provided only to the facility itself or to support the local transmission and distribution system.</w:t>
      </w:r>
    </w:p>
    <w:p w:rsidR="00FD7CCB" w:rsidRPr="00FD7CCB" w:rsidRDefault="00FD7CCB" w:rsidP="00FD7CCB">
      <w:pPr>
        <w:pStyle w:val="NormalWeb"/>
        <w:rPr>
          <w:sz w:val="22"/>
          <w:szCs w:val="22"/>
        </w:rPr>
      </w:pPr>
      <w:r w:rsidRPr="00FD7CCB">
        <w:rPr>
          <w:sz w:val="22"/>
          <w:szCs w:val="22"/>
        </w:rPr>
        <w:t xml:space="preserve">(E) The owner or operator identifies and records the entity that dispatches the engine and the specific NERC, regional, state, public utility commission or local standards or guidelines that are being followed for dispatching </w:t>
      </w:r>
      <w:r w:rsidRPr="00FD7CCB">
        <w:rPr>
          <w:sz w:val="22"/>
          <w:szCs w:val="22"/>
        </w:rPr>
        <w:lastRenderedPageBreak/>
        <w:t>the engine. The local balancing authority or local transmission and distribution system operator may keep these records on behalf of the engine owner or operator.</w:t>
      </w:r>
    </w:p>
    <w:p w:rsidR="00FD7CCB" w:rsidRPr="00FD7CCB" w:rsidRDefault="00FD7CCB" w:rsidP="00FD7CCB">
      <w:pPr>
        <w:pStyle w:val="cita"/>
        <w:rPr>
          <w:sz w:val="22"/>
          <w:szCs w:val="22"/>
        </w:rPr>
      </w:pPr>
      <w:r w:rsidRPr="00FD7CCB">
        <w:rPr>
          <w:sz w:val="22"/>
          <w:szCs w:val="22"/>
        </w:rPr>
        <w:t>[69 FR 33506, June 15, 2004, as amended at 71 FR 20467, Apr. 20, 2006; 73 FR 3606, Jan. 18, 2008; 75 FR 9676, Mar. 3, 2010; 75 FR 51591, Aug. 20, 2010; 78 FR 6704, Jan. 30, 2013]</w:t>
      </w:r>
    </w:p>
    <w:p w:rsidR="00FD7CCB" w:rsidRPr="00FD7CCB" w:rsidRDefault="00FD7CCB" w:rsidP="00FD7CCB">
      <w:pPr>
        <w:pStyle w:val="Heading2"/>
        <w:rPr>
          <w:rFonts w:ascii="Times New Roman" w:hAnsi="Times New Roman" w:cs="Times New Roman"/>
          <w:smallCaps/>
          <w:sz w:val="22"/>
          <w:szCs w:val="22"/>
        </w:rPr>
      </w:pPr>
      <w:bookmarkStart w:id="77" w:name="sg40.15.63_16640.sg5"/>
      <w:bookmarkEnd w:id="77"/>
      <w:r w:rsidRPr="00FD7CCB">
        <w:rPr>
          <w:rFonts w:ascii="Times New Roman" w:hAnsi="Times New Roman" w:cs="Times New Roman"/>
          <w:smallCaps/>
          <w:sz w:val="22"/>
          <w:szCs w:val="22"/>
        </w:rPr>
        <w:t>Notifications, Reports, and Records</w:t>
      </w:r>
    </w:p>
    <w:p w:rsidR="00FD7CCB" w:rsidRPr="00FD7CCB" w:rsidRDefault="00FD7CCB" w:rsidP="00FD7CCB">
      <w:pPr>
        <w:pStyle w:val="Heading2"/>
        <w:rPr>
          <w:rFonts w:ascii="Times New Roman" w:hAnsi="Times New Roman" w:cs="Times New Roman"/>
          <w:sz w:val="22"/>
          <w:szCs w:val="22"/>
        </w:rPr>
      </w:pPr>
      <w:bookmarkStart w:id="78" w:name="se40.15.63_16645"/>
      <w:bookmarkEnd w:id="78"/>
      <w:r w:rsidRPr="00FD7CCB">
        <w:rPr>
          <w:rFonts w:ascii="Times New Roman" w:hAnsi="Times New Roman" w:cs="Times New Roman"/>
          <w:sz w:val="22"/>
          <w:szCs w:val="22"/>
        </w:rPr>
        <w:t>§63.6645   What notifications must I submit and when?</w:t>
      </w:r>
    </w:p>
    <w:p w:rsidR="00FD7CCB" w:rsidRPr="00FD7CCB" w:rsidRDefault="00FD7CCB" w:rsidP="00FD7CCB">
      <w:pPr>
        <w:pStyle w:val="NormalWeb"/>
        <w:rPr>
          <w:sz w:val="22"/>
          <w:szCs w:val="22"/>
        </w:rPr>
      </w:pPr>
      <w:r w:rsidRPr="00FD7CCB">
        <w:rPr>
          <w:sz w:val="22"/>
          <w:szCs w:val="22"/>
        </w:rPr>
        <w:t xml:space="preserve">(a) You must submit </w:t>
      </w:r>
      <w:proofErr w:type="gramStart"/>
      <w:r w:rsidRPr="00FD7CCB">
        <w:rPr>
          <w:sz w:val="22"/>
          <w:szCs w:val="22"/>
        </w:rPr>
        <w:t>all of</w:t>
      </w:r>
      <w:proofErr w:type="gramEnd"/>
      <w:r w:rsidRPr="00FD7CCB">
        <w:rPr>
          <w:sz w:val="22"/>
          <w:szCs w:val="22"/>
        </w:rPr>
        <w:t xml:space="preserve"> the notifications in §§63.7(b) and (c), 63.8(e), (f)(4) and (f)(6), 63.9(b) through (e), and (g) and (h) that apply to you by the dates specified if you own or operate any of the following;</w:t>
      </w:r>
    </w:p>
    <w:p w:rsidR="00FD7CCB" w:rsidRPr="00FD7CCB" w:rsidRDefault="00FD7CCB" w:rsidP="00FD7CCB">
      <w:pPr>
        <w:pStyle w:val="NormalWeb"/>
        <w:rPr>
          <w:sz w:val="22"/>
          <w:szCs w:val="22"/>
        </w:rPr>
      </w:pPr>
      <w:r w:rsidRPr="00FD7CCB">
        <w:rPr>
          <w:sz w:val="22"/>
          <w:szCs w:val="22"/>
        </w:rPr>
        <w:t>(1) An existing stationary RICE with a site rating of less than or equal to 500 brake HP located at a major source of HAP emissions.</w:t>
      </w:r>
    </w:p>
    <w:p w:rsidR="00FD7CCB" w:rsidRPr="00FD7CCB" w:rsidRDefault="00FD7CCB" w:rsidP="00FD7CCB">
      <w:pPr>
        <w:pStyle w:val="NormalWeb"/>
        <w:rPr>
          <w:sz w:val="22"/>
          <w:szCs w:val="22"/>
        </w:rPr>
      </w:pPr>
      <w:r w:rsidRPr="00FD7CCB">
        <w:rPr>
          <w:sz w:val="22"/>
          <w:szCs w:val="22"/>
        </w:rPr>
        <w:t>(2) An existing stationary RICE located at an area source of HAP emissions.</w:t>
      </w:r>
    </w:p>
    <w:p w:rsidR="00FD7CCB" w:rsidRPr="00FD7CCB" w:rsidRDefault="00FD7CCB" w:rsidP="00FD7CCB">
      <w:pPr>
        <w:pStyle w:val="NormalWeb"/>
        <w:rPr>
          <w:sz w:val="22"/>
          <w:szCs w:val="22"/>
        </w:rPr>
      </w:pPr>
      <w:r w:rsidRPr="00FD7CCB">
        <w:rPr>
          <w:sz w:val="22"/>
          <w:szCs w:val="22"/>
        </w:rPr>
        <w:t>(3) A stationary RICE with a site rating of more than 500 brake HP located at a major source of HAP emissions.</w:t>
      </w:r>
    </w:p>
    <w:p w:rsidR="00FD7CCB" w:rsidRPr="00FD7CCB" w:rsidRDefault="00FD7CCB" w:rsidP="00FD7CCB">
      <w:pPr>
        <w:pStyle w:val="NormalWeb"/>
        <w:rPr>
          <w:sz w:val="22"/>
          <w:szCs w:val="22"/>
        </w:rPr>
      </w:pPr>
      <w:r w:rsidRPr="00FD7CCB">
        <w:rPr>
          <w:sz w:val="22"/>
          <w:szCs w:val="22"/>
        </w:rPr>
        <w:t>(4) A new or reconstructed 4SLB stationary RICE with a site rating of greater than or equal to 250 HP located at a major source of HAP emissions.</w:t>
      </w:r>
    </w:p>
    <w:p w:rsidR="00FD7CCB" w:rsidRPr="00FD7CCB" w:rsidRDefault="00FD7CCB" w:rsidP="00FD7CCB">
      <w:pPr>
        <w:pStyle w:val="NormalWeb"/>
        <w:rPr>
          <w:sz w:val="22"/>
          <w:szCs w:val="22"/>
        </w:rPr>
      </w:pPr>
      <w:r w:rsidRPr="00FD7CCB">
        <w:rPr>
          <w:sz w:val="22"/>
          <w:szCs w:val="22"/>
        </w:rPr>
        <w:t>(5) This requirement does not apply if you own or operate an existing stationary RICE less than 100 HP, an existing stationary emergency RICE, or an existing stationary RICE that is not subject to any numerical emission standards.</w:t>
      </w:r>
    </w:p>
    <w:p w:rsidR="00FD7CCB" w:rsidRPr="00FD7CCB" w:rsidRDefault="00FD7CCB" w:rsidP="00FD7CCB">
      <w:pPr>
        <w:pStyle w:val="NormalWeb"/>
        <w:rPr>
          <w:sz w:val="22"/>
          <w:szCs w:val="22"/>
        </w:rPr>
      </w:pPr>
      <w:r w:rsidRPr="00FD7CCB">
        <w:rPr>
          <w:sz w:val="22"/>
          <w:szCs w:val="22"/>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FD7CCB" w:rsidRPr="00FD7CCB" w:rsidRDefault="00FD7CCB" w:rsidP="00FD7CCB">
      <w:pPr>
        <w:pStyle w:val="NormalWeb"/>
        <w:rPr>
          <w:sz w:val="22"/>
          <w:szCs w:val="22"/>
        </w:rPr>
      </w:pPr>
      <w:r w:rsidRPr="00FD7CCB">
        <w:rPr>
          <w:sz w:val="22"/>
          <w:szCs w:val="22"/>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FD7CCB" w:rsidRPr="00FD7CCB" w:rsidRDefault="00FD7CCB" w:rsidP="00FD7CCB">
      <w:pPr>
        <w:pStyle w:val="NormalWeb"/>
        <w:rPr>
          <w:sz w:val="22"/>
          <w:szCs w:val="22"/>
        </w:rPr>
      </w:pPr>
      <w:r w:rsidRPr="00FD7CCB">
        <w:rPr>
          <w:sz w:val="22"/>
          <w:szCs w:val="22"/>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FD7CCB" w:rsidRPr="00FD7CCB" w:rsidRDefault="00FD7CCB" w:rsidP="00FD7CCB">
      <w:pPr>
        <w:pStyle w:val="NormalWeb"/>
        <w:rPr>
          <w:sz w:val="22"/>
          <w:szCs w:val="22"/>
        </w:rPr>
      </w:pPr>
      <w:r w:rsidRPr="00FD7CCB">
        <w:rPr>
          <w:sz w:val="22"/>
          <w:szCs w:val="22"/>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FD7CCB" w:rsidRPr="00FD7CCB" w:rsidRDefault="00FD7CCB" w:rsidP="00FD7CCB">
      <w:pPr>
        <w:pStyle w:val="NormalWeb"/>
        <w:rPr>
          <w:sz w:val="22"/>
          <w:szCs w:val="22"/>
        </w:rPr>
      </w:pPr>
      <w:r w:rsidRPr="00FD7CCB">
        <w:rPr>
          <w:sz w:val="22"/>
          <w:szCs w:val="22"/>
        </w:rPr>
        <w:t xml:space="preserve">(f)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w:t>
      </w:r>
      <w:r w:rsidRPr="00FD7CCB">
        <w:rPr>
          <w:sz w:val="22"/>
          <w:szCs w:val="22"/>
        </w:rPr>
        <w:lastRenderedPageBreak/>
        <w:t>exclusion (for example, that it operates exclusively as an emergency stationary RICE if it has a site rating of more than 500 brake HP located at a major source of HAP emissions).</w:t>
      </w:r>
    </w:p>
    <w:p w:rsidR="00FD7CCB" w:rsidRPr="00FD7CCB" w:rsidRDefault="00FD7CCB" w:rsidP="00FD7CCB">
      <w:pPr>
        <w:pStyle w:val="NormalWeb"/>
        <w:rPr>
          <w:sz w:val="22"/>
          <w:szCs w:val="22"/>
        </w:rPr>
      </w:pPr>
      <w:r w:rsidRPr="00FD7CCB">
        <w:rPr>
          <w:sz w:val="22"/>
          <w:szCs w:val="22"/>
        </w:rPr>
        <w:t>(g) If you are required to conduct a performance test, you must submit a Notification of Intent to conduct a performance test at least 60 days before the performance test is scheduled to begin as required in §63.7(b)(1).</w:t>
      </w:r>
    </w:p>
    <w:p w:rsidR="00FD7CCB" w:rsidRPr="00FD7CCB" w:rsidRDefault="00FD7CCB" w:rsidP="00FD7CCB">
      <w:pPr>
        <w:pStyle w:val="NormalWeb"/>
        <w:rPr>
          <w:sz w:val="22"/>
          <w:szCs w:val="22"/>
        </w:rPr>
      </w:pPr>
      <w:r w:rsidRPr="00FD7CCB">
        <w:rPr>
          <w:sz w:val="22"/>
          <w:szCs w:val="22"/>
        </w:rPr>
        <w:t>(h) If you are required to conduct a performance test or other initial compliance demonstration as specified in Tables 4 and 5 to this subpart, you must submit a Notification of Compliance Status according to §63.9(h)(2)(ii).</w:t>
      </w:r>
    </w:p>
    <w:p w:rsidR="00FD7CCB" w:rsidRPr="00FD7CCB" w:rsidRDefault="00FD7CCB" w:rsidP="00FD7CCB">
      <w:pPr>
        <w:pStyle w:val="NormalWeb"/>
        <w:rPr>
          <w:sz w:val="22"/>
          <w:szCs w:val="22"/>
        </w:rPr>
      </w:pPr>
      <w:r w:rsidRPr="00FD7CCB">
        <w:rPr>
          <w:sz w:val="22"/>
          <w:szCs w:val="22"/>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FD7CCB" w:rsidRPr="00FD7CCB" w:rsidRDefault="00FD7CCB" w:rsidP="00FD7CCB">
      <w:pPr>
        <w:pStyle w:val="NormalWeb"/>
        <w:rPr>
          <w:sz w:val="22"/>
          <w:szCs w:val="22"/>
        </w:rPr>
      </w:pPr>
      <w:r w:rsidRPr="00FD7CCB">
        <w:rPr>
          <w:sz w:val="22"/>
          <w:szCs w:val="22"/>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FD7CCB" w:rsidRPr="00FD7CCB" w:rsidRDefault="00FD7CCB" w:rsidP="00FD7CCB">
      <w:pPr>
        <w:pStyle w:val="NormalWeb"/>
        <w:rPr>
          <w:sz w:val="22"/>
          <w:szCs w:val="22"/>
        </w:rPr>
      </w:pPr>
      <w:r w:rsidRPr="00FD7CCB">
        <w:rPr>
          <w:sz w:val="22"/>
          <w:szCs w:val="22"/>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rsidR="00FD7CCB" w:rsidRPr="00FD7CCB" w:rsidRDefault="00FD7CCB" w:rsidP="00FD7CCB">
      <w:pPr>
        <w:pStyle w:val="cita"/>
        <w:rPr>
          <w:sz w:val="22"/>
          <w:szCs w:val="22"/>
        </w:rPr>
      </w:pPr>
      <w:r w:rsidRPr="00FD7CCB">
        <w:rPr>
          <w:sz w:val="22"/>
          <w:szCs w:val="22"/>
        </w:rPr>
        <w:t>[73 FR 3606, Jan. 18, 2008, as amended at 75 FR 9677, Mar. 3, 2010; 75 FR 51591, Aug. 20, 2010; 78 FR 6705, Jan. 30, 2013]</w:t>
      </w:r>
    </w:p>
    <w:p w:rsidR="00FD7CCB" w:rsidRPr="00FD7CCB" w:rsidRDefault="00FD7CCB" w:rsidP="00FD7CCB">
      <w:pPr>
        <w:pStyle w:val="Heading2"/>
        <w:rPr>
          <w:rFonts w:ascii="Times New Roman" w:hAnsi="Times New Roman" w:cs="Times New Roman"/>
          <w:sz w:val="22"/>
          <w:szCs w:val="22"/>
        </w:rPr>
      </w:pPr>
      <w:bookmarkStart w:id="79" w:name="se40.15.63_16650"/>
      <w:bookmarkEnd w:id="79"/>
      <w:r w:rsidRPr="00FD7CCB">
        <w:rPr>
          <w:rFonts w:ascii="Times New Roman" w:hAnsi="Times New Roman" w:cs="Times New Roman"/>
          <w:sz w:val="22"/>
          <w:szCs w:val="22"/>
        </w:rPr>
        <w:t>§63.6650   What reports must I submit and when?</w:t>
      </w:r>
    </w:p>
    <w:p w:rsidR="00FD7CCB" w:rsidRPr="00FD7CCB" w:rsidRDefault="00FD7CCB" w:rsidP="00FD7CCB">
      <w:pPr>
        <w:pStyle w:val="NormalWeb"/>
        <w:rPr>
          <w:sz w:val="22"/>
          <w:szCs w:val="22"/>
        </w:rPr>
      </w:pPr>
      <w:r w:rsidRPr="00FD7CCB">
        <w:rPr>
          <w:sz w:val="22"/>
          <w:szCs w:val="22"/>
        </w:rPr>
        <w:t>(a) You must submit each report in Table 7 of this subpart that applies to you.</w:t>
      </w:r>
    </w:p>
    <w:p w:rsidR="00FD7CCB" w:rsidRPr="00FD7CCB" w:rsidRDefault="00FD7CCB" w:rsidP="00FD7CCB">
      <w:pPr>
        <w:pStyle w:val="NormalWeb"/>
        <w:rPr>
          <w:sz w:val="22"/>
          <w:szCs w:val="22"/>
        </w:rPr>
      </w:pPr>
      <w:r w:rsidRPr="00FD7CCB">
        <w:rPr>
          <w:sz w:val="22"/>
          <w:szCs w:val="22"/>
        </w:rPr>
        <w:t>(b) Unless the Administrator has approved a different schedule for submission of reports under §63.10(a), you must submit each report by the date in Table 7 of this subpart and according to the requirements in paragraphs (b)(1) through (b)(9) of this section.</w:t>
      </w:r>
    </w:p>
    <w:p w:rsidR="00FD7CCB" w:rsidRPr="00FD7CCB" w:rsidRDefault="00FD7CCB" w:rsidP="00FD7CCB">
      <w:pPr>
        <w:pStyle w:val="NormalWeb"/>
        <w:rPr>
          <w:sz w:val="22"/>
          <w:szCs w:val="22"/>
        </w:rPr>
      </w:pPr>
      <w:r w:rsidRPr="00FD7CCB">
        <w:rPr>
          <w:sz w:val="22"/>
          <w:szCs w:val="22"/>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FD7CCB" w:rsidRPr="00FD7CCB" w:rsidRDefault="00FD7CCB" w:rsidP="00FD7CCB">
      <w:pPr>
        <w:pStyle w:val="NormalWeb"/>
        <w:rPr>
          <w:sz w:val="22"/>
          <w:szCs w:val="22"/>
        </w:rPr>
      </w:pPr>
      <w:r w:rsidRPr="00FD7CCB">
        <w:rPr>
          <w:sz w:val="22"/>
          <w:szCs w:val="22"/>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FD7CCB" w:rsidRPr="00FD7CCB" w:rsidRDefault="00FD7CCB" w:rsidP="00FD7CCB">
      <w:pPr>
        <w:pStyle w:val="NormalWeb"/>
        <w:rPr>
          <w:sz w:val="22"/>
          <w:szCs w:val="22"/>
        </w:rPr>
      </w:pPr>
      <w:r w:rsidRPr="00FD7CCB">
        <w:rPr>
          <w:sz w:val="22"/>
          <w:szCs w:val="22"/>
        </w:rPr>
        <w:lastRenderedPageBreak/>
        <w:t>(3) For semiannual Compliance reports, each subsequent Compliance report must cover the semiannual reporting period from January 1 through June 30 or the semiannual reporting period from July 1 through December 31.</w:t>
      </w:r>
    </w:p>
    <w:p w:rsidR="00FD7CCB" w:rsidRPr="00FD7CCB" w:rsidRDefault="00FD7CCB" w:rsidP="00FD7CCB">
      <w:pPr>
        <w:pStyle w:val="NormalWeb"/>
        <w:rPr>
          <w:sz w:val="22"/>
          <w:szCs w:val="22"/>
        </w:rPr>
      </w:pPr>
      <w:r w:rsidRPr="00FD7CCB">
        <w:rPr>
          <w:sz w:val="22"/>
          <w:szCs w:val="22"/>
        </w:rPr>
        <w:t>(4) For semiannual Compliance reports, each subsequent Compliance report must be postmarked or delivered no later than July 31 or January 31, whichever date is the first date following the end of the semiannual reporting period.</w:t>
      </w:r>
    </w:p>
    <w:p w:rsidR="00FD7CCB" w:rsidRPr="00FD7CCB" w:rsidRDefault="00FD7CCB" w:rsidP="00FD7CCB">
      <w:pPr>
        <w:pStyle w:val="NormalWeb"/>
        <w:rPr>
          <w:sz w:val="22"/>
          <w:szCs w:val="22"/>
        </w:rPr>
      </w:pPr>
      <w:r w:rsidRPr="00FD7CCB">
        <w:rPr>
          <w:sz w:val="22"/>
          <w:szCs w:val="22"/>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FD7CCB" w:rsidRPr="00FD7CCB" w:rsidRDefault="00FD7CCB" w:rsidP="00FD7CCB">
      <w:pPr>
        <w:pStyle w:val="NormalWeb"/>
        <w:rPr>
          <w:sz w:val="22"/>
          <w:szCs w:val="22"/>
        </w:rPr>
      </w:pPr>
      <w:r w:rsidRPr="00FD7CCB">
        <w:rPr>
          <w:sz w:val="22"/>
          <w:szCs w:val="22"/>
        </w:rPr>
        <w:t>(6) For annual Compliance reports, the first Compliance report must cover the period beginning on the compliance date that is specified for your affected source in §63.6595 and ending on December 31.</w:t>
      </w:r>
    </w:p>
    <w:p w:rsidR="00FD7CCB" w:rsidRPr="00FD7CCB" w:rsidRDefault="00FD7CCB" w:rsidP="00FD7CCB">
      <w:pPr>
        <w:pStyle w:val="NormalWeb"/>
        <w:rPr>
          <w:sz w:val="22"/>
          <w:szCs w:val="22"/>
        </w:rPr>
      </w:pPr>
      <w:r w:rsidRPr="00FD7CCB">
        <w:rPr>
          <w:sz w:val="22"/>
          <w:szCs w:val="22"/>
        </w:rPr>
        <w:t>(7) For annual Compliance reports, the first Compliance report must be postmarked or delivered no later than January 31 following the end of the first calendar year after the compliance date that is specified for your affected source in §63.6595.</w:t>
      </w:r>
    </w:p>
    <w:p w:rsidR="00FD7CCB" w:rsidRPr="00FD7CCB" w:rsidRDefault="00FD7CCB" w:rsidP="00FD7CCB">
      <w:pPr>
        <w:pStyle w:val="NormalWeb"/>
        <w:rPr>
          <w:sz w:val="22"/>
          <w:szCs w:val="22"/>
        </w:rPr>
      </w:pPr>
      <w:r w:rsidRPr="00FD7CCB">
        <w:rPr>
          <w:sz w:val="22"/>
          <w:szCs w:val="22"/>
        </w:rPr>
        <w:t>(8) For annual Compliance reports, each subsequent Compliance report must cover the annual reporting period from January 1 through December 31.</w:t>
      </w:r>
    </w:p>
    <w:p w:rsidR="00FD7CCB" w:rsidRPr="00FD7CCB" w:rsidRDefault="00FD7CCB" w:rsidP="00FD7CCB">
      <w:pPr>
        <w:pStyle w:val="NormalWeb"/>
        <w:rPr>
          <w:sz w:val="22"/>
          <w:szCs w:val="22"/>
        </w:rPr>
      </w:pPr>
      <w:r w:rsidRPr="00FD7CCB">
        <w:rPr>
          <w:sz w:val="22"/>
          <w:szCs w:val="22"/>
        </w:rPr>
        <w:t>(9) For annual Compliance reports, each subsequent Compliance report must be postmarked or delivered no later than January 31.</w:t>
      </w:r>
    </w:p>
    <w:p w:rsidR="00FD7CCB" w:rsidRPr="00FD7CCB" w:rsidRDefault="00FD7CCB" w:rsidP="00FD7CCB">
      <w:pPr>
        <w:pStyle w:val="NormalWeb"/>
        <w:rPr>
          <w:sz w:val="22"/>
          <w:szCs w:val="22"/>
        </w:rPr>
      </w:pPr>
      <w:r w:rsidRPr="00FD7CCB">
        <w:rPr>
          <w:sz w:val="22"/>
          <w:szCs w:val="22"/>
        </w:rPr>
        <w:t>(c) The Compliance report must contain the information in paragraphs (c)(1) through (6) of this section.</w:t>
      </w:r>
    </w:p>
    <w:p w:rsidR="00FD7CCB" w:rsidRPr="00FD7CCB" w:rsidRDefault="00FD7CCB" w:rsidP="00FD7CCB">
      <w:pPr>
        <w:pStyle w:val="NormalWeb"/>
        <w:rPr>
          <w:sz w:val="22"/>
          <w:szCs w:val="22"/>
        </w:rPr>
      </w:pPr>
      <w:r w:rsidRPr="00FD7CCB">
        <w:rPr>
          <w:sz w:val="22"/>
          <w:szCs w:val="22"/>
        </w:rPr>
        <w:t>(1) Company name and address.</w:t>
      </w:r>
    </w:p>
    <w:p w:rsidR="00FD7CCB" w:rsidRPr="00FD7CCB" w:rsidRDefault="00FD7CCB" w:rsidP="00FD7CCB">
      <w:pPr>
        <w:pStyle w:val="NormalWeb"/>
        <w:rPr>
          <w:sz w:val="22"/>
          <w:szCs w:val="22"/>
        </w:rPr>
      </w:pPr>
      <w:r w:rsidRPr="00FD7CCB">
        <w:rPr>
          <w:sz w:val="22"/>
          <w:szCs w:val="22"/>
        </w:rPr>
        <w:t>(2) Statement by a responsible official, with that official's name, title, and signature, certifying the accuracy of the content of the report.</w:t>
      </w:r>
    </w:p>
    <w:p w:rsidR="00FD7CCB" w:rsidRPr="00FD7CCB" w:rsidRDefault="00FD7CCB" w:rsidP="00FD7CCB">
      <w:pPr>
        <w:pStyle w:val="NormalWeb"/>
        <w:rPr>
          <w:sz w:val="22"/>
          <w:szCs w:val="22"/>
        </w:rPr>
      </w:pPr>
      <w:r w:rsidRPr="00FD7CCB">
        <w:rPr>
          <w:sz w:val="22"/>
          <w:szCs w:val="22"/>
        </w:rPr>
        <w:t>(3) Date of report and beginning and ending dates of the reporting period.</w:t>
      </w:r>
    </w:p>
    <w:p w:rsidR="00FD7CCB" w:rsidRPr="00FD7CCB" w:rsidRDefault="00FD7CCB" w:rsidP="00FD7CCB">
      <w:pPr>
        <w:pStyle w:val="NormalWeb"/>
        <w:rPr>
          <w:sz w:val="22"/>
          <w:szCs w:val="22"/>
        </w:rPr>
      </w:pPr>
      <w:r w:rsidRPr="00FD7CCB">
        <w:rPr>
          <w:sz w:val="22"/>
          <w:szCs w:val="22"/>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FD7CCB" w:rsidRPr="00FD7CCB" w:rsidRDefault="00FD7CCB" w:rsidP="00FD7CCB">
      <w:pPr>
        <w:pStyle w:val="NormalWeb"/>
        <w:rPr>
          <w:sz w:val="22"/>
          <w:szCs w:val="22"/>
        </w:rPr>
      </w:pPr>
      <w:r w:rsidRPr="00FD7CCB">
        <w:rPr>
          <w:sz w:val="22"/>
          <w:szCs w:val="22"/>
        </w:rPr>
        <w:t>(5) If there are no deviations from any emission or operating limitations that apply to you, a statement that there were no deviations from the emission or operating limitations during the reporting period.</w:t>
      </w:r>
    </w:p>
    <w:p w:rsidR="00FD7CCB" w:rsidRPr="00FD7CCB" w:rsidRDefault="00FD7CCB" w:rsidP="00FD7CCB">
      <w:pPr>
        <w:pStyle w:val="NormalWeb"/>
        <w:rPr>
          <w:sz w:val="22"/>
          <w:szCs w:val="22"/>
        </w:rPr>
      </w:pPr>
      <w:r w:rsidRPr="00FD7CCB">
        <w:rPr>
          <w:sz w:val="22"/>
          <w:szCs w:val="22"/>
        </w:rPr>
        <w:t>(6) If there were no periods during which the continuous monitoring system (CMS), including CEMS and CPMS, was out-of-control, as specified in §63.8(c)(7), a statement that there were no periods during which the CMS was out-of-control during the reporting period.</w:t>
      </w:r>
    </w:p>
    <w:p w:rsidR="00FD7CCB" w:rsidRPr="00FD7CCB" w:rsidRDefault="00FD7CCB" w:rsidP="00FD7CCB">
      <w:pPr>
        <w:pStyle w:val="NormalWeb"/>
        <w:rPr>
          <w:sz w:val="22"/>
          <w:szCs w:val="22"/>
        </w:rPr>
      </w:pPr>
      <w:r w:rsidRPr="00FD7CCB">
        <w:rPr>
          <w:sz w:val="22"/>
          <w:szCs w:val="22"/>
        </w:rPr>
        <w:lastRenderedPageBreak/>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FD7CCB" w:rsidRPr="00FD7CCB" w:rsidRDefault="00FD7CCB" w:rsidP="00FD7CCB">
      <w:pPr>
        <w:pStyle w:val="NormalWeb"/>
        <w:rPr>
          <w:sz w:val="22"/>
          <w:szCs w:val="22"/>
        </w:rPr>
      </w:pPr>
      <w:r w:rsidRPr="00FD7CCB">
        <w:rPr>
          <w:sz w:val="22"/>
          <w:szCs w:val="22"/>
        </w:rPr>
        <w:t>(1) The total operating time of the stationary RICE at which the deviation occurred during the reporting period.</w:t>
      </w:r>
    </w:p>
    <w:p w:rsidR="00FD7CCB" w:rsidRPr="00FD7CCB" w:rsidRDefault="00FD7CCB" w:rsidP="00FD7CCB">
      <w:pPr>
        <w:pStyle w:val="NormalWeb"/>
        <w:rPr>
          <w:sz w:val="22"/>
          <w:szCs w:val="22"/>
        </w:rPr>
      </w:pPr>
      <w:r w:rsidRPr="00FD7CCB">
        <w:rPr>
          <w:sz w:val="22"/>
          <w:szCs w:val="22"/>
        </w:rPr>
        <w:t>(2) Information on the number, duration, and cause of deviations (including unknown cause, if applicable), as applicable, and the corrective action taken.</w:t>
      </w:r>
    </w:p>
    <w:p w:rsidR="00FD7CCB" w:rsidRPr="00FD7CCB" w:rsidRDefault="00FD7CCB" w:rsidP="00FD7CCB">
      <w:pPr>
        <w:pStyle w:val="NormalWeb"/>
        <w:rPr>
          <w:sz w:val="22"/>
          <w:szCs w:val="22"/>
        </w:rPr>
      </w:pPr>
      <w:r w:rsidRPr="00FD7CCB">
        <w:rPr>
          <w:sz w:val="22"/>
          <w:szCs w:val="22"/>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FD7CCB" w:rsidRPr="00FD7CCB" w:rsidRDefault="00FD7CCB" w:rsidP="00FD7CCB">
      <w:pPr>
        <w:pStyle w:val="NormalWeb"/>
        <w:rPr>
          <w:sz w:val="22"/>
          <w:szCs w:val="22"/>
        </w:rPr>
      </w:pPr>
      <w:r w:rsidRPr="00FD7CCB">
        <w:rPr>
          <w:sz w:val="22"/>
          <w:szCs w:val="22"/>
        </w:rPr>
        <w:t>(1) The date and time that each malfunction started and stopped.</w:t>
      </w:r>
    </w:p>
    <w:p w:rsidR="00FD7CCB" w:rsidRPr="00FD7CCB" w:rsidRDefault="00FD7CCB" w:rsidP="00FD7CCB">
      <w:pPr>
        <w:pStyle w:val="NormalWeb"/>
        <w:rPr>
          <w:sz w:val="22"/>
          <w:szCs w:val="22"/>
        </w:rPr>
      </w:pPr>
      <w:r w:rsidRPr="00FD7CCB">
        <w:rPr>
          <w:sz w:val="22"/>
          <w:szCs w:val="22"/>
        </w:rPr>
        <w:t>(2) The date, time, and duration that each CMS was inoperative, except for zero (low-level) and high-level checks.</w:t>
      </w:r>
    </w:p>
    <w:p w:rsidR="00FD7CCB" w:rsidRPr="00FD7CCB" w:rsidRDefault="00FD7CCB" w:rsidP="00FD7CCB">
      <w:pPr>
        <w:pStyle w:val="NormalWeb"/>
        <w:rPr>
          <w:sz w:val="22"/>
          <w:szCs w:val="22"/>
        </w:rPr>
      </w:pPr>
      <w:r w:rsidRPr="00FD7CCB">
        <w:rPr>
          <w:sz w:val="22"/>
          <w:szCs w:val="22"/>
        </w:rPr>
        <w:t>(3) The date, time, and duration that each CMS was out-of-control, including the information in §63.8(c)(8).</w:t>
      </w:r>
    </w:p>
    <w:p w:rsidR="00FD7CCB" w:rsidRPr="00FD7CCB" w:rsidRDefault="00FD7CCB" w:rsidP="00FD7CCB">
      <w:pPr>
        <w:pStyle w:val="NormalWeb"/>
        <w:rPr>
          <w:sz w:val="22"/>
          <w:szCs w:val="22"/>
        </w:rPr>
      </w:pPr>
      <w:r w:rsidRPr="00FD7CCB">
        <w:rPr>
          <w:sz w:val="22"/>
          <w:szCs w:val="22"/>
        </w:rPr>
        <w:t>(4) The date and time that each deviation started and stopped, and whether each deviation occurred during a period of malfunction or during another period.</w:t>
      </w:r>
    </w:p>
    <w:p w:rsidR="00FD7CCB" w:rsidRPr="00FD7CCB" w:rsidRDefault="00FD7CCB" w:rsidP="00FD7CCB">
      <w:pPr>
        <w:pStyle w:val="NormalWeb"/>
        <w:rPr>
          <w:sz w:val="22"/>
          <w:szCs w:val="22"/>
        </w:rPr>
      </w:pPr>
      <w:r w:rsidRPr="00FD7CCB">
        <w:rPr>
          <w:sz w:val="22"/>
          <w:szCs w:val="22"/>
        </w:rPr>
        <w:t>(5) A summary of the total duration of the deviation during the reporting period, and the total duration as a percent of the total source operating time during that reporting period.</w:t>
      </w:r>
    </w:p>
    <w:p w:rsidR="00FD7CCB" w:rsidRPr="00FD7CCB" w:rsidRDefault="00FD7CCB" w:rsidP="00FD7CCB">
      <w:pPr>
        <w:pStyle w:val="NormalWeb"/>
        <w:rPr>
          <w:sz w:val="22"/>
          <w:szCs w:val="22"/>
        </w:rPr>
      </w:pPr>
      <w:r w:rsidRPr="00FD7CCB">
        <w:rPr>
          <w:sz w:val="22"/>
          <w:szCs w:val="22"/>
        </w:rPr>
        <w:t>(6) A breakdown of the total duration of the deviations during the reporting period into those that are due to control equipment problems, process problems, other known causes, and other unknown causes.</w:t>
      </w:r>
    </w:p>
    <w:p w:rsidR="00FD7CCB" w:rsidRPr="00FD7CCB" w:rsidRDefault="00FD7CCB" w:rsidP="00FD7CCB">
      <w:pPr>
        <w:pStyle w:val="NormalWeb"/>
        <w:rPr>
          <w:sz w:val="22"/>
          <w:szCs w:val="22"/>
        </w:rPr>
      </w:pPr>
      <w:r w:rsidRPr="00FD7CCB">
        <w:rPr>
          <w:sz w:val="22"/>
          <w:szCs w:val="22"/>
        </w:rPr>
        <w:t>(7) A summary of the total duration of CMS downtime during the reporting period, and the total duration of CMS downtime as a percent of the total operating time of the stationary RICE at which the CMS downtime occurred during that reporting period.</w:t>
      </w:r>
    </w:p>
    <w:p w:rsidR="00FD7CCB" w:rsidRPr="00FD7CCB" w:rsidRDefault="00FD7CCB" w:rsidP="00FD7CCB">
      <w:pPr>
        <w:pStyle w:val="NormalWeb"/>
        <w:rPr>
          <w:sz w:val="22"/>
          <w:szCs w:val="22"/>
        </w:rPr>
      </w:pPr>
      <w:r w:rsidRPr="00FD7CCB">
        <w:rPr>
          <w:sz w:val="22"/>
          <w:szCs w:val="22"/>
        </w:rPr>
        <w:t>(8) An identification of each parameter and pollutant (CO or formaldehyde) that was monitored at the stationary RICE.</w:t>
      </w:r>
    </w:p>
    <w:p w:rsidR="00FD7CCB" w:rsidRPr="00FD7CCB" w:rsidRDefault="00FD7CCB" w:rsidP="00FD7CCB">
      <w:pPr>
        <w:pStyle w:val="NormalWeb"/>
        <w:rPr>
          <w:sz w:val="22"/>
          <w:szCs w:val="22"/>
        </w:rPr>
      </w:pPr>
      <w:r w:rsidRPr="00FD7CCB">
        <w:rPr>
          <w:sz w:val="22"/>
          <w:szCs w:val="22"/>
        </w:rPr>
        <w:t>(9) A brief description of the stationary RICE.</w:t>
      </w:r>
    </w:p>
    <w:p w:rsidR="00FD7CCB" w:rsidRPr="00FD7CCB" w:rsidRDefault="00FD7CCB" w:rsidP="00FD7CCB">
      <w:pPr>
        <w:pStyle w:val="NormalWeb"/>
        <w:rPr>
          <w:sz w:val="22"/>
          <w:szCs w:val="22"/>
        </w:rPr>
      </w:pPr>
      <w:r w:rsidRPr="00FD7CCB">
        <w:rPr>
          <w:sz w:val="22"/>
          <w:szCs w:val="22"/>
        </w:rPr>
        <w:t>(10) A brief description of the CMS.</w:t>
      </w:r>
    </w:p>
    <w:p w:rsidR="00FD7CCB" w:rsidRPr="00FD7CCB" w:rsidRDefault="00FD7CCB" w:rsidP="00FD7CCB">
      <w:pPr>
        <w:pStyle w:val="NormalWeb"/>
        <w:rPr>
          <w:sz w:val="22"/>
          <w:szCs w:val="22"/>
        </w:rPr>
      </w:pPr>
      <w:r w:rsidRPr="00FD7CCB">
        <w:rPr>
          <w:sz w:val="22"/>
          <w:szCs w:val="22"/>
        </w:rPr>
        <w:t>(11) The date of the latest CMS certification or audit.</w:t>
      </w:r>
    </w:p>
    <w:p w:rsidR="00FD7CCB" w:rsidRPr="00FD7CCB" w:rsidRDefault="00FD7CCB" w:rsidP="00FD7CCB">
      <w:pPr>
        <w:pStyle w:val="NormalWeb"/>
        <w:rPr>
          <w:sz w:val="22"/>
          <w:szCs w:val="22"/>
        </w:rPr>
      </w:pPr>
      <w:r w:rsidRPr="00FD7CCB">
        <w:rPr>
          <w:sz w:val="22"/>
          <w:szCs w:val="22"/>
        </w:rPr>
        <w:t>(12) A description of any changes in CMS, processes, or controls since the last reporting period.</w:t>
      </w:r>
    </w:p>
    <w:p w:rsidR="00FD7CCB" w:rsidRPr="00FD7CCB" w:rsidRDefault="00FD7CCB" w:rsidP="00FD7CCB">
      <w:pPr>
        <w:pStyle w:val="NormalWeb"/>
        <w:rPr>
          <w:sz w:val="22"/>
          <w:szCs w:val="22"/>
        </w:rPr>
      </w:pPr>
      <w:r w:rsidRPr="00FD7CCB">
        <w:rPr>
          <w:sz w:val="22"/>
          <w:szCs w:val="22"/>
        </w:rPr>
        <w:t xml:space="preserve">(f) Each affected source that has obtained a title V operating permit pursuant to 40 CFR part 70 or 71 must report all deviations as defined in this subpart in the semiannual monitoring report required by 40 CFR 70.6 </w:t>
      </w:r>
      <w:r w:rsidRPr="00FD7CCB">
        <w:rPr>
          <w:sz w:val="22"/>
          <w:szCs w:val="22"/>
        </w:rPr>
        <w:lastRenderedPageBreak/>
        <w:t>(a)(3)(iii)(A)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FD7CCB" w:rsidRPr="00FD7CCB" w:rsidRDefault="00FD7CCB" w:rsidP="00FD7CCB">
      <w:pPr>
        <w:pStyle w:val="NormalWeb"/>
        <w:rPr>
          <w:sz w:val="22"/>
          <w:szCs w:val="22"/>
        </w:rPr>
      </w:pPr>
      <w:r w:rsidRPr="00FD7CCB">
        <w:rPr>
          <w:sz w:val="22"/>
          <w:szCs w:val="22"/>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FD7CCB" w:rsidRPr="00FD7CCB" w:rsidRDefault="00FD7CCB" w:rsidP="00FD7CCB">
      <w:pPr>
        <w:pStyle w:val="NormalWeb"/>
        <w:rPr>
          <w:sz w:val="22"/>
          <w:szCs w:val="22"/>
        </w:rPr>
      </w:pPr>
      <w:r w:rsidRPr="00FD7CCB">
        <w:rPr>
          <w:sz w:val="22"/>
          <w:szCs w:val="22"/>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FD7CCB" w:rsidRPr="00FD7CCB" w:rsidRDefault="00FD7CCB" w:rsidP="00FD7CCB">
      <w:pPr>
        <w:pStyle w:val="NormalWeb"/>
        <w:rPr>
          <w:sz w:val="22"/>
          <w:szCs w:val="22"/>
        </w:rPr>
      </w:pPr>
      <w:r w:rsidRPr="00FD7CCB">
        <w:rPr>
          <w:sz w:val="22"/>
          <w:szCs w:val="22"/>
        </w:rPr>
        <w:t>(2) The operating limits provided in your federally enforceable permit, and any deviations from these limits.</w:t>
      </w:r>
    </w:p>
    <w:p w:rsidR="00FD7CCB" w:rsidRPr="00FD7CCB" w:rsidRDefault="00FD7CCB" w:rsidP="00FD7CCB">
      <w:pPr>
        <w:pStyle w:val="NormalWeb"/>
        <w:rPr>
          <w:sz w:val="22"/>
          <w:szCs w:val="22"/>
        </w:rPr>
      </w:pPr>
      <w:r w:rsidRPr="00FD7CCB">
        <w:rPr>
          <w:sz w:val="22"/>
          <w:szCs w:val="22"/>
        </w:rPr>
        <w:t>(3) Any problems or errors suspected with the meters.</w:t>
      </w:r>
    </w:p>
    <w:p w:rsidR="00FD7CCB" w:rsidRPr="00FD7CCB" w:rsidRDefault="00FD7CCB" w:rsidP="00FD7CCB">
      <w:pPr>
        <w:pStyle w:val="NormalWeb"/>
        <w:rPr>
          <w:sz w:val="22"/>
          <w:szCs w:val="22"/>
        </w:rPr>
      </w:pPr>
      <w:r w:rsidRPr="00FD7CCB">
        <w:rPr>
          <w:sz w:val="22"/>
          <w:szCs w:val="22"/>
        </w:rPr>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rsidR="00FD7CCB" w:rsidRPr="00FD7CCB" w:rsidRDefault="00FD7CCB" w:rsidP="00FD7CCB">
      <w:pPr>
        <w:pStyle w:val="NormalWeb"/>
        <w:rPr>
          <w:sz w:val="22"/>
          <w:szCs w:val="22"/>
        </w:rPr>
      </w:pPr>
      <w:r w:rsidRPr="00FD7CCB">
        <w:rPr>
          <w:sz w:val="22"/>
          <w:szCs w:val="22"/>
        </w:rPr>
        <w:t>(1) The report must contain the following information:</w:t>
      </w:r>
    </w:p>
    <w:p w:rsidR="00FD7CCB" w:rsidRPr="00FD7CCB" w:rsidRDefault="00FD7CCB" w:rsidP="00FD7CCB">
      <w:pPr>
        <w:pStyle w:val="NormalWeb"/>
        <w:rPr>
          <w:sz w:val="22"/>
          <w:szCs w:val="22"/>
        </w:rPr>
      </w:pPr>
      <w:r w:rsidRPr="00FD7CCB">
        <w:rPr>
          <w:sz w:val="22"/>
          <w:szCs w:val="22"/>
        </w:rPr>
        <w:t>(i) Company name and address where the engine is located.</w:t>
      </w:r>
    </w:p>
    <w:p w:rsidR="00FD7CCB" w:rsidRPr="00FD7CCB" w:rsidRDefault="00FD7CCB" w:rsidP="00FD7CCB">
      <w:pPr>
        <w:pStyle w:val="NormalWeb"/>
        <w:rPr>
          <w:sz w:val="22"/>
          <w:szCs w:val="22"/>
        </w:rPr>
      </w:pPr>
      <w:r w:rsidRPr="00FD7CCB">
        <w:rPr>
          <w:sz w:val="22"/>
          <w:szCs w:val="22"/>
        </w:rPr>
        <w:t>(ii) Date of the report and beginning and ending dates of the reporting period.</w:t>
      </w:r>
    </w:p>
    <w:p w:rsidR="00FD7CCB" w:rsidRPr="00FD7CCB" w:rsidRDefault="00FD7CCB" w:rsidP="00FD7CCB">
      <w:pPr>
        <w:pStyle w:val="NormalWeb"/>
        <w:rPr>
          <w:sz w:val="22"/>
          <w:szCs w:val="22"/>
        </w:rPr>
      </w:pPr>
      <w:r w:rsidRPr="00FD7CCB">
        <w:rPr>
          <w:sz w:val="22"/>
          <w:szCs w:val="22"/>
        </w:rPr>
        <w:t>(iii) Engine site rating and model year.</w:t>
      </w:r>
    </w:p>
    <w:p w:rsidR="00FD7CCB" w:rsidRPr="00FD7CCB" w:rsidRDefault="00FD7CCB" w:rsidP="00FD7CCB">
      <w:pPr>
        <w:pStyle w:val="NormalWeb"/>
        <w:rPr>
          <w:sz w:val="22"/>
          <w:szCs w:val="22"/>
        </w:rPr>
      </w:pPr>
      <w:r w:rsidRPr="00FD7CCB">
        <w:rPr>
          <w:sz w:val="22"/>
          <w:szCs w:val="22"/>
        </w:rPr>
        <w:t>(iv) Latitude and longitude of the engine in decimal degrees reported to the fifth decimal place.</w:t>
      </w:r>
    </w:p>
    <w:p w:rsidR="00FD7CCB" w:rsidRPr="00FD7CCB" w:rsidRDefault="00FD7CCB" w:rsidP="00FD7CCB">
      <w:pPr>
        <w:pStyle w:val="NormalWeb"/>
        <w:rPr>
          <w:sz w:val="22"/>
          <w:szCs w:val="22"/>
        </w:rPr>
      </w:pPr>
      <w:r w:rsidRPr="00FD7CCB">
        <w:rPr>
          <w:sz w:val="22"/>
          <w:szCs w:val="22"/>
        </w:rPr>
        <w:t>(v) Hours operated for the purposes specified in §63.6640(f)(2)(ii) and (iii), including the date, start time, and end time for engine operation for the purposes specified in §63.6640(f)(2)(ii) and (iii).</w:t>
      </w:r>
    </w:p>
    <w:p w:rsidR="00FD7CCB" w:rsidRPr="00FD7CCB" w:rsidRDefault="00FD7CCB" w:rsidP="00FD7CCB">
      <w:pPr>
        <w:pStyle w:val="NormalWeb"/>
        <w:rPr>
          <w:sz w:val="22"/>
          <w:szCs w:val="22"/>
        </w:rPr>
      </w:pPr>
      <w:r w:rsidRPr="00FD7CCB">
        <w:rPr>
          <w:sz w:val="22"/>
          <w:szCs w:val="22"/>
        </w:rPr>
        <w:t>(vi) Number of hours the engine is contractually obligated to be available for the purposes specified in §63.6640(f)(2)(ii) and (iii).</w:t>
      </w:r>
    </w:p>
    <w:p w:rsidR="00FD7CCB" w:rsidRPr="00FD7CCB" w:rsidRDefault="00FD7CCB" w:rsidP="00FD7CCB">
      <w:pPr>
        <w:pStyle w:val="NormalWeb"/>
        <w:rPr>
          <w:sz w:val="22"/>
          <w:szCs w:val="22"/>
        </w:rPr>
      </w:pPr>
      <w:r w:rsidRPr="00FD7CCB">
        <w:rPr>
          <w:sz w:val="22"/>
          <w:szCs w:val="22"/>
        </w:rPr>
        <w:t>(vii) Hours spent for operation for the purpose specified in §63.6640(f)(4)(ii), including the date, start time, and end time for engine operation for the purposes specified in §63.6640(f)(4)(ii). The report must also identify the entity that dispatched the engine and the situation that necessitated the dispatch of the engine.</w:t>
      </w:r>
    </w:p>
    <w:p w:rsidR="00FD7CCB" w:rsidRPr="00FD7CCB" w:rsidRDefault="00FD7CCB" w:rsidP="00FD7CCB">
      <w:pPr>
        <w:pStyle w:val="NormalWeb"/>
        <w:rPr>
          <w:sz w:val="22"/>
          <w:szCs w:val="22"/>
        </w:rPr>
      </w:pPr>
      <w:r w:rsidRPr="00FD7CCB">
        <w:rPr>
          <w:sz w:val="22"/>
          <w:szCs w:val="22"/>
        </w:rPr>
        <w:lastRenderedPageBreak/>
        <w:t>(viii) If there were no deviations from the fuel requirements in §63.6604 that apply to the engine (if any), a statement that there were no deviations from the fuel requirements during the reporting period.</w:t>
      </w:r>
    </w:p>
    <w:p w:rsidR="00FD7CCB" w:rsidRPr="00FD7CCB" w:rsidRDefault="00FD7CCB" w:rsidP="00FD7CCB">
      <w:pPr>
        <w:pStyle w:val="NormalWeb"/>
        <w:rPr>
          <w:sz w:val="22"/>
          <w:szCs w:val="22"/>
        </w:rPr>
      </w:pPr>
      <w:r w:rsidRPr="00FD7CCB">
        <w:rPr>
          <w:sz w:val="22"/>
          <w:szCs w:val="22"/>
        </w:rPr>
        <w:t>(ix) If there were deviations from the fuel requirements in §63.6604 that apply to the engine (if any), information on the number, duration, and cause of deviations, and the corrective action taken.</w:t>
      </w:r>
    </w:p>
    <w:p w:rsidR="00FD7CCB" w:rsidRPr="00FD7CCB" w:rsidRDefault="00FD7CCB" w:rsidP="00FD7CCB">
      <w:pPr>
        <w:pStyle w:val="NormalWeb"/>
        <w:rPr>
          <w:sz w:val="22"/>
          <w:szCs w:val="22"/>
        </w:rPr>
      </w:pPr>
      <w:r w:rsidRPr="00FD7CCB">
        <w:rPr>
          <w:sz w:val="22"/>
          <w:szCs w:val="22"/>
        </w:rPr>
        <w:t>(2) The first annual report must cover the calendar year 2015 and must be submitted no later than March 31, 2016. Subsequent annual reports for each calendar year must be submitted no later than March 31 of the following calendar year.</w:t>
      </w:r>
    </w:p>
    <w:p w:rsidR="00FD7CCB" w:rsidRPr="00FD7CCB" w:rsidRDefault="00FD7CCB" w:rsidP="00FD7CCB">
      <w:pPr>
        <w:pStyle w:val="NormalWeb"/>
        <w:rPr>
          <w:sz w:val="22"/>
          <w:szCs w:val="22"/>
        </w:rPr>
      </w:pPr>
      <w:r w:rsidRPr="00FD7CCB">
        <w:rPr>
          <w:sz w:val="22"/>
          <w:szCs w:val="22"/>
        </w:rPr>
        <w:t>(3) The annual report must be submitted electronically using the subpart specific reporting form in the Compliance and Emissions Data Reporting Interface (CEDRI) that is accessed through EPA's Central Data Exchange (CDX) (</w:t>
      </w:r>
      <w:r w:rsidRPr="00FD7CCB">
        <w:rPr>
          <w:i/>
          <w:iCs/>
          <w:sz w:val="22"/>
          <w:szCs w:val="22"/>
        </w:rPr>
        <w:t>www.epa.gov/cdx</w:t>
      </w:r>
      <w:r w:rsidRPr="00FD7CCB">
        <w:rPr>
          <w:sz w:val="22"/>
          <w:szCs w:val="22"/>
        </w:rPr>
        <w:t>). However, if the reporting form specific to this subpart is not available in CEDRI at the time that the report is due, the written report must be submitted to the Administrator at the appropriate address listed in §63.13.</w:t>
      </w:r>
    </w:p>
    <w:p w:rsidR="00FD7CCB" w:rsidRPr="00FD7CCB" w:rsidRDefault="00FD7CCB" w:rsidP="00FD7CCB">
      <w:pPr>
        <w:pStyle w:val="cita"/>
        <w:rPr>
          <w:sz w:val="22"/>
          <w:szCs w:val="22"/>
        </w:rPr>
      </w:pPr>
      <w:r w:rsidRPr="00FD7CCB">
        <w:rPr>
          <w:sz w:val="22"/>
          <w:szCs w:val="22"/>
        </w:rPr>
        <w:t>[69 FR 33506, June 15, 2004, as amended at 75 FR 9677, Mar. 3, 2010; 78 FR 6705, Jan. 30, 2013]</w:t>
      </w:r>
    </w:p>
    <w:p w:rsidR="00FD7CCB" w:rsidRPr="00FD7CCB" w:rsidRDefault="00FD7CCB" w:rsidP="00FD7CCB">
      <w:pPr>
        <w:pStyle w:val="Heading2"/>
        <w:rPr>
          <w:rFonts w:ascii="Times New Roman" w:hAnsi="Times New Roman" w:cs="Times New Roman"/>
          <w:sz w:val="22"/>
          <w:szCs w:val="22"/>
        </w:rPr>
      </w:pPr>
      <w:bookmarkStart w:id="80" w:name="se40.15.63_16655"/>
      <w:bookmarkEnd w:id="80"/>
      <w:r w:rsidRPr="00FD7CCB">
        <w:rPr>
          <w:rFonts w:ascii="Times New Roman" w:hAnsi="Times New Roman" w:cs="Times New Roman"/>
          <w:sz w:val="22"/>
          <w:szCs w:val="22"/>
        </w:rPr>
        <w:t>§63.6655   What records must I keep?</w:t>
      </w:r>
    </w:p>
    <w:p w:rsidR="00FD7CCB" w:rsidRPr="00FD7CCB" w:rsidRDefault="00FD7CCB" w:rsidP="00FD7CCB">
      <w:pPr>
        <w:pStyle w:val="NormalWeb"/>
        <w:rPr>
          <w:sz w:val="22"/>
          <w:szCs w:val="22"/>
        </w:rPr>
      </w:pPr>
      <w:r w:rsidRPr="00FD7CCB">
        <w:rPr>
          <w:sz w:val="22"/>
          <w:szCs w:val="22"/>
        </w:rPr>
        <w:t>(a) If you must comply with the emission and operating limitations, you must keep the records described in paragraphs (a)(1) through (a)(5), (b)(1) through (b)(3) and (c) of this section.</w:t>
      </w:r>
    </w:p>
    <w:p w:rsidR="00FD7CCB" w:rsidRPr="00FD7CCB" w:rsidRDefault="00FD7CCB" w:rsidP="00FD7CCB">
      <w:pPr>
        <w:pStyle w:val="NormalWeb"/>
        <w:rPr>
          <w:sz w:val="22"/>
          <w:szCs w:val="22"/>
        </w:rPr>
      </w:pPr>
      <w:r w:rsidRPr="00FD7CCB">
        <w:rPr>
          <w:sz w:val="22"/>
          <w:szCs w:val="22"/>
        </w:rPr>
        <w:t>(1) A copy of each notification and report that you submitted to comply with this subpart, including all documentation supporting any Initial Notification or Notification of Compliance Status that you submitted, according to the requirement in §63.10(b)(2)(xiv).</w:t>
      </w:r>
    </w:p>
    <w:p w:rsidR="00FD7CCB" w:rsidRPr="00FD7CCB" w:rsidRDefault="00FD7CCB" w:rsidP="00FD7CCB">
      <w:pPr>
        <w:pStyle w:val="NormalWeb"/>
        <w:rPr>
          <w:sz w:val="22"/>
          <w:szCs w:val="22"/>
        </w:rPr>
      </w:pPr>
      <w:r w:rsidRPr="00FD7CCB">
        <w:rPr>
          <w:sz w:val="22"/>
          <w:szCs w:val="22"/>
        </w:rPr>
        <w:t>(2) Records of the occurrence and duration of each malfunction of operation (</w:t>
      </w:r>
      <w:r w:rsidRPr="00FD7CCB">
        <w:rPr>
          <w:i/>
          <w:iCs/>
          <w:sz w:val="22"/>
          <w:szCs w:val="22"/>
        </w:rPr>
        <w:t>i.e.,</w:t>
      </w:r>
      <w:r w:rsidRPr="00FD7CCB">
        <w:rPr>
          <w:sz w:val="22"/>
          <w:szCs w:val="22"/>
        </w:rPr>
        <w:t xml:space="preserve"> process equipment) or the air pollution control and monitoring equipment.</w:t>
      </w:r>
    </w:p>
    <w:p w:rsidR="00FD7CCB" w:rsidRPr="00FD7CCB" w:rsidRDefault="00FD7CCB" w:rsidP="00FD7CCB">
      <w:pPr>
        <w:pStyle w:val="NormalWeb"/>
        <w:rPr>
          <w:sz w:val="22"/>
          <w:szCs w:val="22"/>
        </w:rPr>
      </w:pPr>
      <w:r w:rsidRPr="00FD7CCB">
        <w:rPr>
          <w:sz w:val="22"/>
          <w:szCs w:val="22"/>
        </w:rPr>
        <w:t>(3) Records of performance tests and performance evaluations as required in §63.10(b)(2)(viii).</w:t>
      </w:r>
    </w:p>
    <w:p w:rsidR="00FD7CCB" w:rsidRPr="00FD7CCB" w:rsidRDefault="00FD7CCB" w:rsidP="00FD7CCB">
      <w:pPr>
        <w:pStyle w:val="NormalWeb"/>
        <w:rPr>
          <w:sz w:val="22"/>
          <w:szCs w:val="22"/>
        </w:rPr>
      </w:pPr>
      <w:r w:rsidRPr="00FD7CCB">
        <w:rPr>
          <w:sz w:val="22"/>
          <w:szCs w:val="22"/>
        </w:rPr>
        <w:t>(4) Records of all required maintenance performed on the air pollution control and monitoring equipment.</w:t>
      </w:r>
    </w:p>
    <w:p w:rsidR="00FD7CCB" w:rsidRPr="00FD7CCB" w:rsidRDefault="00FD7CCB" w:rsidP="00FD7CCB">
      <w:pPr>
        <w:pStyle w:val="NormalWeb"/>
        <w:rPr>
          <w:sz w:val="22"/>
          <w:szCs w:val="22"/>
        </w:rPr>
      </w:pPr>
      <w:r w:rsidRPr="00FD7CCB">
        <w:rPr>
          <w:sz w:val="22"/>
          <w:szCs w:val="22"/>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FD7CCB" w:rsidRPr="00FD7CCB" w:rsidRDefault="00FD7CCB" w:rsidP="00FD7CCB">
      <w:pPr>
        <w:pStyle w:val="NormalWeb"/>
        <w:rPr>
          <w:sz w:val="22"/>
          <w:szCs w:val="22"/>
        </w:rPr>
      </w:pPr>
      <w:r w:rsidRPr="00FD7CCB">
        <w:rPr>
          <w:sz w:val="22"/>
          <w:szCs w:val="22"/>
        </w:rPr>
        <w:t>(b) For each CEMS or CPMS, you must keep the records listed in paragraphs (b)(1) through (3) of this section.</w:t>
      </w:r>
    </w:p>
    <w:p w:rsidR="00FD7CCB" w:rsidRPr="00FD7CCB" w:rsidRDefault="00FD7CCB" w:rsidP="00FD7CCB">
      <w:pPr>
        <w:pStyle w:val="NormalWeb"/>
        <w:rPr>
          <w:sz w:val="22"/>
          <w:szCs w:val="22"/>
        </w:rPr>
      </w:pPr>
      <w:r w:rsidRPr="00FD7CCB">
        <w:rPr>
          <w:sz w:val="22"/>
          <w:szCs w:val="22"/>
        </w:rPr>
        <w:t>(1) Records described in §63.10(b)(2)(vi) through (xi).</w:t>
      </w:r>
    </w:p>
    <w:p w:rsidR="00FD7CCB" w:rsidRPr="00FD7CCB" w:rsidRDefault="00FD7CCB" w:rsidP="00FD7CCB">
      <w:pPr>
        <w:pStyle w:val="NormalWeb"/>
        <w:rPr>
          <w:sz w:val="22"/>
          <w:szCs w:val="22"/>
        </w:rPr>
      </w:pPr>
      <w:r w:rsidRPr="00FD7CCB">
        <w:rPr>
          <w:sz w:val="22"/>
          <w:szCs w:val="22"/>
        </w:rPr>
        <w:t>(2) Previous (</w:t>
      </w:r>
      <w:r w:rsidRPr="00FD7CCB">
        <w:rPr>
          <w:i/>
          <w:iCs/>
          <w:sz w:val="22"/>
          <w:szCs w:val="22"/>
        </w:rPr>
        <w:t>i.e.,</w:t>
      </w:r>
      <w:r w:rsidRPr="00FD7CCB">
        <w:rPr>
          <w:sz w:val="22"/>
          <w:szCs w:val="22"/>
        </w:rPr>
        <w:t xml:space="preserve"> superseded) versions of the performance evaluation plan as required in §63.8(d)(3).</w:t>
      </w:r>
    </w:p>
    <w:p w:rsidR="00FD7CCB" w:rsidRPr="00FD7CCB" w:rsidRDefault="00FD7CCB" w:rsidP="00FD7CCB">
      <w:pPr>
        <w:pStyle w:val="NormalWeb"/>
        <w:rPr>
          <w:sz w:val="22"/>
          <w:szCs w:val="22"/>
        </w:rPr>
      </w:pPr>
      <w:r w:rsidRPr="00FD7CCB">
        <w:rPr>
          <w:sz w:val="22"/>
          <w:szCs w:val="22"/>
        </w:rPr>
        <w:t>(3) Requests for alternatives to the relative accuracy test for CEMS or CPMS as required in §63.8(f)(6)(i), if applicable.</w:t>
      </w:r>
    </w:p>
    <w:p w:rsidR="00FD7CCB" w:rsidRPr="00FD7CCB" w:rsidRDefault="00FD7CCB" w:rsidP="00FD7CCB">
      <w:pPr>
        <w:pStyle w:val="NormalWeb"/>
        <w:rPr>
          <w:sz w:val="22"/>
          <w:szCs w:val="22"/>
        </w:rPr>
      </w:pPr>
      <w:r w:rsidRPr="00FD7CCB">
        <w:rPr>
          <w:sz w:val="22"/>
          <w:szCs w:val="22"/>
        </w:rPr>
        <w:lastRenderedPageBreak/>
        <w:t>(c) If you are operating a new or reconstructed stationary RICE which fires landfill gas or digester gas equivalent to 10 percent or more of the gross heat input on an annual basis, you must keep the records of your daily fuel usage monitors.</w:t>
      </w:r>
    </w:p>
    <w:p w:rsidR="00FD7CCB" w:rsidRPr="00FD7CCB" w:rsidRDefault="00FD7CCB" w:rsidP="00FD7CCB">
      <w:pPr>
        <w:pStyle w:val="NormalWeb"/>
        <w:rPr>
          <w:sz w:val="22"/>
          <w:szCs w:val="22"/>
        </w:rPr>
      </w:pPr>
      <w:r w:rsidRPr="00FD7CCB">
        <w:rPr>
          <w:sz w:val="22"/>
          <w:szCs w:val="22"/>
        </w:rPr>
        <w:t>(d) You must keep the records required in Table 6 of this subpart to show continuous compliance with each emission or operating limitation that applies to you.</w:t>
      </w:r>
    </w:p>
    <w:p w:rsidR="00FD7CCB" w:rsidRPr="00FD7CCB" w:rsidRDefault="00FD7CCB" w:rsidP="00FD7CCB">
      <w:pPr>
        <w:pStyle w:val="NormalWeb"/>
        <w:rPr>
          <w:sz w:val="22"/>
          <w:szCs w:val="22"/>
        </w:rPr>
      </w:pPr>
      <w:r w:rsidRPr="00FD7CCB">
        <w:rPr>
          <w:sz w:val="22"/>
          <w:szCs w:val="22"/>
        </w:rPr>
        <w:t xml:space="preserve">(e) You must keep records of the maintenance conducted on the stationary RICE </w:t>
      </w:r>
      <w:proofErr w:type="gramStart"/>
      <w:r w:rsidRPr="00FD7CCB">
        <w:rPr>
          <w:sz w:val="22"/>
          <w:szCs w:val="22"/>
        </w:rPr>
        <w:t>in order to</w:t>
      </w:r>
      <w:proofErr w:type="gramEnd"/>
      <w:r w:rsidRPr="00FD7CCB">
        <w:rPr>
          <w:sz w:val="22"/>
          <w:szCs w:val="22"/>
        </w:rPr>
        <w:t xml:space="preserve"> demonstrate that you operated and maintained the stationary RICE and after-treatment control device (if any) according to your own maintenance plan if you own or operate any of the following stationary RICE;</w:t>
      </w:r>
    </w:p>
    <w:p w:rsidR="00FD7CCB" w:rsidRPr="00FD7CCB" w:rsidRDefault="00FD7CCB" w:rsidP="00FD7CCB">
      <w:pPr>
        <w:pStyle w:val="NormalWeb"/>
        <w:rPr>
          <w:sz w:val="22"/>
          <w:szCs w:val="22"/>
        </w:rPr>
      </w:pPr>
      <w:r w:rsidRPr="00FD7CCB">
        <w:rPr>
          <w:sz w:val="22"/>
          <w:szCs w:val="22"/>
        </w:rPr>
        <w:t>(1) An existing stationary RICE with a site rating of less than 100 brake HP located at a major source of HAP emissions.</w:t>
      </w:r>
    </w:p>
    <w:p w:rsidR="00FD7CCB" w:rsidRPr="00FD7CCB" w:rsidRDefault="00FD7CCB" w:rsidP="00FD7CCB">
      <w:pPr>
        <w:pStyle w:val="NormalWeb"/>
        <w:rPr>
          <w:sz w:val="22"/>
          <w:szCs w:val="22"/>
        </w:rPr>
      </w:pPr>
      <w:r w:rsidRPr="00FD7CCB">
        <w:rPr>
          <w:sz w:val="22"/>
          <w:szCs w:val="22"/>
        </w:rPr>
        <w:t>(2) An existing stationary emergency RICE.</w:t>
      </w:r>
    </w:p>
    <w:p w:rsidR="00FD7CCB" w:rsidRPr="00FD7CCB" w:rsidRDefault="00FD7CCB" w:rsidP="00FD7CCB">
      <w:pPr>
        <w:pStyle w:val="NormalWeb"/>
        <w:rPr>
          <w:sz w:val="22"/>
          <w:szCs w:val="22"/>
        </w:rPr>
      </w:pPr>
      <w:r w:rsidRPr="00FD7CCB">
        <w:rPr>
          <w:sz w:val="22"/>
          <w:szCs w:val="22"/>
        </w:rPr>
        <w:t>(3) An existing stationary RICE located at an area source of HAP emissions subject to management practices as shown in Table 2d to this subpart.</w:t>
      </w:r>
    </w:p>
    <w:p w:rsidR="00FD7CCB" w:rsidRPr="00FD7CCB" w:rsidRDefault="00FD7CCB" w:rsidP="00FD7CCB">
      <w:pPr>
        <w:pStyle w:val="NormalWeb"/>
        <w:rPr>
          <w:sz w:val="22"/>
          <w:szCs w:val="22"/>
        </w:rPr>
      </w:pPr>
      <w:r w:rsidRPr="00FD7CCB">
        <w:rPr>
          <w:sz w:val="22"/>
          <w:szCs w:val="22"/>
        </w:rPr>
        <w:t xml:space="preserve">(f)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w:t>
      </w:r>
      <w:proofErr w:type="gramStart"/>
      <w:r w:rsidRPr="00FD7CCB">
        <w:rPr>
          <w:sz w:val="22"/>
          <w:szCs w:val="22"/>
        </w:rPr>
        <w:t>emergency situation</w:t>
      </w:r>
      <w:proofErr w:type="gramEnd"/>
      <w:r w:rsidRPr="00FD7CCB">
        <w:rPr>
          <w:sz w:val="22"/>
          <w:szCs w:val="22"/>
        </w:rPr>
        <w:t>, and the date, start time, and end time of engine operation for these purposes.</w:t>
      </w:r>
    </w:p>
    <w:p w:rsidR="00FD7CCB" w:rsidRPr="00FD7CCB" w:rsidRDefault="00FD7CCB" w:rsidP="00FD7CCB">
      <w:pPr>
        <w:pStyle w:val="NormalWeb"/>
        <w:rPr>
          <w:sz w:val="22"/>
          <w:szCs w:val="22"/>
        </w:rPr>
      </w:pPr>
      <w:r w:rsidRPr="00FD7CCB">
        <w:rPr>
          <w:sz w:val="22"/>
          <w:szCs w:val="22"/>
        </w:rPr>
        <w:t>(1) An existing emergency stationary RICE with a site rating of less than or equal to 500 brake HP located at a major source of HAP emissions that does not meet the standards applicable to non-emergency engines.</w:t>
      </w:r>
    </w:p>
    <w:p w:rsidR="00FD7CCB" w:rsidRPr="00FD7CCB" w:rsidRDefault="00FD7CCB" w:rsidP="00FD7CCB">
      <w:pPr>
        <w:pStyle w:val="NormalWeb"/>
        <w:rPr>
          <w:sz w:val="22"/>
          <w:szCs w:val="22"/>
        </w:rPr>
      </w:pPr>
      <w:r w:rsidRPr="00FD7CCB">
        <w:rPr>
          <w:sz w:val="22"/>
          <w:szCs w:val="22"/>
        </w:rPr>
        <w:t>(2) An existing emergency stationary RICE located at an area source of HAP emissions that does not meet the standards applicable to non-emergency engines.</w:t>
      </w:r>
    </w:p>
    <w:p w:rsidR="00FD7CCB" w:rsidRPr="00FD7CCB" w:rsidRDefault="00FD7CCB" w:rsidP="00FD7CCB">
      <w:pPr>
        <w:pStyle w:val="cita"/>
        <w:rPr>
          <w:sz w:val="22"/>
          <w:szCs w:val="22"/>
        </w:rPr>
      </w:pPr>
      <w:r w:rsidRPr="00FD7CCB">
        <w:rPr>
          <w:sz w:val="22"/>
          <w:szCs w:val="22"/>
        </w:rPr>
        <w:t>[69 FR 33506, June 15, 2004, as amended at 75 FR 9678, Mar. 3, 2010; 75 FR 51592, Aug. 20, 2010; 78 FR 6706, Jan. 30, 2013]</w:t>
      </w:r>
    </w:p>
    <w:p w:rsidR="00FD7CCB" w:rsidRPr="00FD7CCB" w:rsidRDefault="00FD7CCB" w:rsidP="00FD7CCB">
      <w:pPr>
        <w:pStyle w:val="Heading2"/>
        <w:rPr>
          <w:rFonts w:ascii="Times New Roman" w:hAnsi="Times New Roman" w:cs="Times New Roman"/>
          <w:sz w:val="22"/>
          <w:szCs w:val="22"/>
        </w:rPr>
      </w:pPr>
      <w:bookmarkStart w:id="81" w:name="se40.15.63_16660"/>
      <w:bookmarkEnd w:id="81"/>
      <w:r w:rsidRPr="00FD7CCB">
        <w:rPr>
          <w:rFonts w:ascii="Times New Roman" w:hAnsi="Times New Roman" w:cs="Times New Roman"/>
          <w:sz w:val="22"/>
          <w:szCs w:val="22"/>
        </w:rPr>
        <w:t>§63.6660   In what form and how long must I keep my records?</w:t>
      </w:r>
    </w:p>
    <w:p w:rsidR="00FD7CCB" w:rsidRPr="00FD7CCB" w:rsidRDefault="00FD7CCB" w:rsidP="00FD7CCB">
      <w:pPr>
        <w:pStyle w:val="NormalWeb"/>
        <w:rPr>
          <w:sz w:val="22"/>
          <w:szCs w:val="22"/>
        </w:rPr>
      </w:pPr>
      <w:r w:rsidRPr="00FD7CCB">
        <w:rPr>
          <w:sz w:val="22"/>
          <w:szCs w:val="22"/>
        </w:rPr>
        <w:t>(a) Your records must be in a form suitable and readily available for expeditious review according to §63.10(b)(1).</w:t>
      </w:r>
    </w:p>
    <w:p w:rsidR="00FD7CCB" w:rsidRPr="00FD7CCB" w:rsidRDefault="00FD7CCB" w:rsidP="00FD7CCB">
      <w:pPr>
        <w:pStyle w:val="NormalWeb"/>
        <w:rPr>
          <w:sz w:val="22"/>
          <w:szCs w:val="22"/>
        </w:rPr>
      </w:pPr>
      <w:r w:rsidRPr="00FD7CCB">
        <w:rPr>
          <w:sz w:val="22"/>
          <w:szCs w:val="22"/>
        </w:rPr>
        <w:t>(b) As specified in §63.10(b)(1), you must keep each record for 5 years following the date of each occurrence, measurement, maintenance, corrective action, report, or record.</w:t>
      </w:r>
    </w:p>
    <w:p w:rsidR="00FD7CCB" w:rsidRPr="00FD7CCB" w:rsidRDefault="00FD7CCB" w:rsidP="00FD7CCB">
      <w:pPr>
        <w:pStyle w:val="NormalWeb"/>
        <w:rPr>
          <w:sz w:val="22"/>
          <w:szCs w:val="22"/>
        </w:rPr>
      </w:pPr>
      <w:r w:rsidRPr="00FD7CCB">
        <w:rPr>
          <w:sz w:val="22"/>
          <w:szCs w:val="22"/>
        </w:rPr>
        <w:t>(c) You must keep each record readily accessible in hard copy or electronic form for at least 5 years after the date of each occurrence, measurement, maintenance, corrective action, report, or record, according to §63.10(b)(1).</w:t>
      </w:r>
    </w:p>
    <w:p w:rsidR="00FD7CCB" w:rsidRPr="00FD7CCB" w:rsidRDefault="00FD7CCB" w:rsidP="00FD7CCB">
      <w:pPr>
        <w:pStyle w:val="cita"/>
        <w:rPr>
          <w:sz w:val="22"/>
          <w:szCs w:val="22"/>
        </w:rPr>
      </w:pPr>
      <w:r w:rsidRPr="00FD7CCB">
        <w:rPr>
          <w:sz w:val="22"/>
          <w:szCs w:val="22"/>
        </w:rPr>
        <w:lastRenderedPageBreak/>
        <w:t>[69 FR 33506, June 15, 2004, as amended at 75 FR 9678, Mar. 3, 2010]</w:t>
      </w:r>
    </w:p>
    <w:p w:rsidR="00FD7CCB" w:rsidRPr="00FD7CCB" w:rsidRDefault="00FD7CCB" w:rsidP="00FD7CCB">
      <w:pPr>
        <w:pStyle w:val="Heading2"/>
        <w:rPr>
          <w:rFonts w:ascii="Times New Roman" w:hAnsi="Times New Roman" w:cs="Times New Roman"/>
          <w:smallCaps/>
          <w:sz w:val="22"/>
          <w:szCs w:val="22"/>
        </w:rPr>
      </w:pPr>
      <w:bookmarkStart w:id="82" w:name="sg40.15.63_16660.sg6"/>
      <w:bookmarkEnd w:id="82"/>
      <w:r w:rsidRPr="00FD7CCB">
        <w:rPr>
          <w:rFonts w:ascii="Times New Roman" w:hAnsi="Times New Roman" w:cs="Times New Roman"/>
          <w:smallCaps/>
          <w:sz w:val="22"/>
          <w:szCs w:val="22"/>
        </w:rPr>
        <w:t>Other Requirements and Information</w:t>
      </w:r>
    </w:p>
    <w:p w:rsidR="00FD7CCB" w:rsidRPr="00FD7CCB" w:rsidRDefault="00FD7CCB" w:rsidP="00FD7CCB">
      <w:pPr>
        <w:pStyle w:val="Heading2"/>
        <w:rPr>
          <w:rFonts w:ascii="Times New Roman" w:hAnsi="Times New Roman" w:cs="Times New Roman"/>
          <w:sz w:val="22"/>
          <w:szCs w:val="22"/>
        </w:rPr>
      </w:pPr>
      <w:bookmarkStart w:id="83" w:name="se40.15.63_16665"/>
      <w:bookmarkEnd w:id="83"/>
      <w:r w:rsidRPr="00FD7CCB">
        <w:rPr>
          <w:rFonts w:ascii="Times New Roman" w:hAnsi="Times New Roman" w:cs="Times New Roman"/>
          <w:sz w:val="22"/>
          <w:szCs w:val="22"/>
        </w:rPr>
        <w:t>§63.6665   What parts of the General Provisions apply to me?</w:t>
      </w:r>
    </w:p>
    <w:p w:rsidR="00FD7CCB" w:rsidRPr="00FD7CCB" w:rsidRDefault="00FD7CCB" w:rsidP="00FD7CCB">
      <w:pPr>
        <w:pStyle w:val="NormalWeb"/>
        <w:rPr>
          <w:sz w:val="22"/>
          <w:szCs w:val="22"/>
        </w:rPr>
      </w:pPr>
      <w:r w:rsidRPr="00FD7CCB">
        <w:rPr>
          <w:sz w:val="22"/>
          <w:szCs w:val="22"/>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FD7CCB" w:rsidRPr="00FD7CCB" w:rsidRDefault="00FD7CCB" w:rsidP="00FD7CCB">
      <w:pPr>
        <w:pStyle w:val="cita"/>
        <w:rPr>
          <w:sz w:val="22"/>
          <w:szCs w:val="22"/>
        </w:rPr>
      </w:pPr>
      <w:r w:rsidRPr="00FD7CCB">
        <w:rPr>
          <w:sz w:val="22"/>
          <w:szCs w:val="22"/>
        </w:rPr>
        <w:t>[75 FR 9678, Mar. 3, 2010]</w:t>
      </w:r>
    </w:p>
    <w:p w:rsidR="00FD7CCB" w:rsidRPr="00FD7CCB" w:rsidRDefault="00FD7CCB" w:rsidP="00FD7CCB">
      <w:pPr>
        <w:pStyle w:val="Heading2"/>
        <w:rPr>
          <w:rFonts w:ascii="Times New Roman" w:hAnsi="Times New Roman" w:cs="Times New Roman"/>
          <w:sz w:val="22"/>
          <w:szCs w:val="22"/>
        </w:rPr>
      </w:pPr>
      <w:bookmarkStart w:id="84" w:name="se40.15.63_16670"/>
      <w:bookmarkEnd w:id="84"/>
      <w:r w:rsidRPr="00FD7CCB">
        <w:rPr>
          <w:rFonts w:ascii="Times New Roman" w:hAnsi="Times New Roman" w:cs="Times New Roman"/>
          <w:sz w:val="22"/>
          <w:szCs w:val="22"/>
        </w:rPr>
        <w:t>§63.6670   Who implements and enforces this subpart?</w:t>
      </w:r>
    </w:p>
    <w:p w:rsidR="00FD7CCB" w:rsidRPr="00FD7CCB" w:rsidRDefault="00FD7CCB" w:rsidP="00FD7CCB">
      <w:pPr>
        <w:pStyle w:val="NormalWeb"/>
        <w:rPr>
          <w:sz w:val="22"/>
          <w:szCs w:val="22"/>
        </w:rPr>
      </w:pPr>
      <w:r w:rsidRPr="00FD7CCB">
        <w:rPr>
          <w:sz w:val="22"/>
          <w:szCs w:val="22"/>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FD7CCB" w:rsidRPr="00FD7CCB" w:rsidRDefault="00FD7CCB" w:rsidP="00FD7CCB">
      <w:pPr>
        <w:pStyle w:val="NormalWeb"/>
        <w:rPr>
          <w:sz w:val="22"/>
          <w:szCs w:val="22"/>
        </w:rPr>
      </w:pPr>
      <w:r w:rsidRPr="00FD7CCB">
        <w:rPr>
          <w:sz w:val="22"/>
          <w:szCs w:val="22"/>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FD7CCB" w:rsidRPr="00FD7CCB" w:rsidRDefault="00FD7CCB" w:rsidP="00FD7CCB">
      <w:pPr>
        <w:pStyle w:val="NormalWeb"/>
        <w:rPr>
          <w:sz w:val="22"/>
          <w:szCs w:val="22"/>
        </w:rPr>
      </w:pPr>
      <w:r w:rsidRPr="00FD7CCB">
        <w:rPr>
          <w:sz w:val="22"/>
          <w:szCs w:val="22"/>
        </w:rPr>
        <w:t>(c) The authorities that will not be delegated to State, local, or tribal agencies are:</w:t>
      </w:r>
    </w:p>
    <w:p w:rsidR="00FD7CCB" w:rsidRPr="00FD7CCB" w:rsidRDefault="00FD7CCB" w:rsidP="00FD7CCB">
      <w:pPr>
        <w:pStyle w:val="NormalWeb"/>
        <w:rPr>
          <w:sz w:val="22"/>
          <w:szCs w:val="22"/>
        </w:rPr>
      </w:pPr>
      <w:r w:rsidRPr="00FD7CCB">
        <w:rPr>
          <w:sz w:val="22"/>
          <w:szCs w:val="22"/>
        </w:rPr>
        <w:t>(1) Approval of alternatives to the non-opacity emission limitations and operating limitations in §63.6600 under §63.6(g).</w:t>
      </w:r>
    </w:p>
    <w:p w:rsidR="00FD7CCB" w:rsidRPr="00FD7CCB" w:rsidRDefault="00FD7CCB" w:rsidP="00FD7CCB">
      <w:pPr>
        <w:pStyle w:val="NormalWeb"/>
        <w:rPr>
          <w:sz w:val="22"/>
          <w:szCs w:val="22"/>
        </w:rPr>
      </w:pPr>
      <w:r w:rsidRPr="00FD7CCB">
        <w:rPr>
          <w:sz w:val="22"/>
          <w:szCs w:val="22"/>
        </w:rPr>
        <w:t>(2) Approval of major alternatives to test methods under §63.7(e)(2)(ii) and (f) and as defined in §63.90.</w:t>
      </w:r>
    </w:p>
    <w:p w:rsidR="00FD7CCB" w:rsidRPr="00FD7CCB" w:rsidRDefault="00FD7CCB" w:rsidP="00FD7CCB">
      <w:pPr>
        <w:pStyle w:val="NormalWeb"/>
        <w:rPr>
          <w:sz w:val="22"/>
          <w:szCs w:val="22"/>
        </w:rPr>
      </w:pPr>
      <w:r w:rsidRPr="00FD7CCB">
        <w:rPr>
          <w:sz w:val="22"/>
          <w:szCs w:val="22"/>
        </w:rPr>
        <w:t>(3) Approval of major alternatives to monitoring under §63.8(f) and as defined in §63.90.</w:t>
      </w:r>
    </w:p>
    <w:p w:rsidR="00FD7CCB" w:rsidRPr="00FD7CCB" w:rsidRDefault="00FD7CCB" w:rsidP="00FD7CCB">
      <w:pPr>
        <w:pStyle w:val="NormalWeb"/>
        <w:rPr>
          <w:sz w:val="22"/>
          <w:szCs w:val="22"/>
        </w:rPr>
      </w:pPr>
      <w:r w:rsidRPr="00FD7CCB">
        <w:rPr>
          <w:sz w:val="22"/>
          <w:szCs w:val="22"/>
        </w:rPr>
        <w:t>(4) Approval of major alternatives to recordkeeping and reporting under §63.10(f) and as defined in §63.90.</w:t>
      </w:r>
    </w:p>
    <w:p w:rsidR="00FD7CCB" w:rsidRPr="00FD7CCB" w:rsidRDefault="00FD7CCB" w:rsidP="00FD7CCB">
      <w:pPr>
        <w:pStyle w:val="NormalWeb"/>
        <w:rPr>
          <w:sz w:val="22"/>
          <w:szCs w:val="22"/>
        </w:rPr>
      </w:pPr>
      <w:r w:rsidRPr="00FD7CCB">
        <w:rPr>
          <w:sz w:val="22"/>
          <w:szCs w:val="22"/>
        </w:rPr>
        <w:t>(5) Approval of a performance test which was conducted prior to the effective date of the rule, as specified in §63.6610(b).</w:t>
      </w:r>
    </w:p>
    <w:p w:rsidR="00FD7CCB" w:rsidRPr="00FD7CCB" w:rsidRDefault="00FD7CCB" w:rsidP="00FD7CCB">
      <w:pPr>
        <w:pStyle w:val="Heading2"/>
        <w:rPr>
          <w:rFonts w:ascii="Times New Roman" w:hAnsi="Times New Roman" w:cs="Times New Roman"/>
          <w:sz w:val="22"/>
          <w:szCs w:val="22"/>
        </w:rPr>
      </w:pPr>
      <w:bookmarkStart w:id="85" w:name="se40.15.63_16675"/>
      <w:bookmarkEnd w:id="85"/>
      <w:r w:rsidRPr="00FD7CCB">
        <w:rPr>
          <w:rFonts w:ascii="Times New Roman" w:hAnsi="Times New Roman" w:cs="Times New Roman"/>
          <w:sz w:val="22"/>
          <w:szCs w:val="22"/>
        </w:rPr>
        <w:lastRenderedPageBreak/>
        <w:t>§63.6675   What definitions apply to this subpart?</w:t>
      </w:r>
    </w:p>
    <w:p w:rsidR="00FD7CCB" w:rsidRPr="00FD7CCB" w:rsidRDefault="00FD7CCB" w:rsidP="00FD7CCB">
      <w:pPr>
        <w:pStyle w:val="NormalWeb"/>
        <w:rPr>
          <w:sz w:val="22"/>
          <w:szCs w:val="22"/>
        </w:rPr>
      </w:pPr>
      <w:r w:rsidRPr="00FD7CCB">
        <w:rPr>
          <w:sz w:val="22"/>
          <w:szCs w:val="22"/>
        </w:rPr>
        <w:t>Terms used in this subpart are defined in the Clean Air Act (CAA); in 40 CFR 63.2, the General Provisions of this part; and in this section as follows:</w:t>
      </w:r>
    </w:p>
    <w:p w:rsidR="00FD7CCB" w:rsidRPr="00FD7CCB" w:rsidRDefault="00FD7CCB" w:rsidP="00FD7CCB">
      <w:pPr>
        <w:pStyle w:val="NormalWeb"/>
        <w:rPr>
          <w:sz w:val="22"/>
          <w:szCs w:val="22"/>
        </w:rPr>
      </w:pPr>
      <w:r w:rsidRPr="00FD7CCB">
        <w:rPr>
          <w:i/>
          <w:iCs/>
          <w:sz w:val="22"/>
          <w:szCs w:val="22"/>
        </w:rPr>
        <w:t>Alaska Railbelt Grid</w:t>
      </w:r>
      <w:r w:rsidRPr="00FD7CCB">
        <w:rPr>
          <w:sz w:val="22"/>
          <w:szCs w:val="22"/>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FD7CCB" w:rsidRPr="00FD7CCB" w:rsidRDefault="00FD7CCB" w:rsidP="00FD7CCB">
      <w:pPr>
        <w:pStyle w:val="NormalWeb"/>
        <w:rPr>
          <w:sz w:val="22"/>
          <w:szCs w:val="22"/>
        </w:rPr>
      </w:pPr>
      <w:r w:rsidRPr="00FD7CCB">
        <w:rPr>
          <w:i/>
          <w:iCs/>
          <w:sz w:val="22"/>
          <w:szCs w:val="22"/>
        </w:rPr>
        <w:t>Area source</w:t>
      </w:r>
      <w:r w:rsidRPr="00FD7CCB">
        <w:rPr>
          <w:sz w:val="22"/>
          <w:szCs w:val="22"/>
        </w:rPr>
        <w:t xml:space="preserve"> means any stationary source of HAP that is not a major source as defined in part 63.</w:t>
      </w:r>
    </w:p>
    <w:p w:rsidR="00FD7CCB" w:rsidRPr="00FD7CCB" w:rsidRDefault="00FD7CCB" w:rsidP="00FD7CCB">
      <w:pPr>
        <w:pStyle w:val="NormalWeb"/>
        <w:rPr>
          <w:sz w:val="22"/>
          <w:szCs w:val="22"/>
        </w:rPr>
      </w:pPr>
      <w:r w:rsidRPr="00FD7CCB">
        <w:rPr>
          <w:i/>
          <w:iCs/>
          <w:sz w:val="22"/>
          <w:szCs w:val="22"/>
        </w:rPr>
        <w:t>Associated equipment</w:t>
      </w:r>
      <w:r w:rsidRPr="00FD7CCB">
        <w:rPr>
          <w:sz w:val="22"/>
          <w:szCs w:val="22"/>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FD7CCB" w:rsidRPr="00FD7CCB" w:rsidRDefault="00FD7CCB" w:rsidP="00FD7CCB">
      <w:pPr>
        <w:pStyle w:val="NormalWeb"/>
        <w:rPr>
          <w:sz w:val="22"/>
          <w:szCs w:val="22"/>
        </w:rPr>
      </w:pPr>
      <w:r w:rsidRPr="00FD7CCB">
        <w:rPr>
          <w:i/>
          <w:iCs/>
          <w:sz w:val="22"/>
          <w:szCs w:val="22"/>
        </w:rPr>
        <w:t>Backup power for renewable energy</w:t>
      </w:r>
      <w:r w:rsidRPr="00FD7CCB">
        <w:rPr>
          <w:sz w:val="22"/>
          <w:szCs w:val="22"/>
        </w:rPr>
        <w:t xml:space="preserve"> means an engine that provides backup power to a facility that generates electricity from renewable energy resources, as that term is defined in Alaska Statute 42.45.045(l)(5) (incorporated by reference, see §63.14).</w:t>
      </w:r>
    </w:p>
    <w:p w:rsidR="00FD7CCB" w:rsidRPr="00FD7CCB" w:rsidRDefault="00FD7CCB" w:rsidP="00FD7CCB">
      <w:pPr>
        <w:pStyle w:val="NormalWeb"/>
        <w:rPr>
          <w:sz w:val="22"/>
          <w:szCs w:val="22"/>
        </w:rPr>
      </w:pPr>
      <w:r w:rsidRPr="00FD7CCB">
        <w:rPr>
          <w:i/>
          <w:iCs/>
          <w:sz w:val="22"/>
          <w:szCs w:val="22"/>
        </w:rPr>
        <w:t>Black start engine</w:t>
      </w:r>
      <w:r w:rsidRPr="00FD7CCB">
        <w:rPr>
          <w:sz w:val="22"/>
          <w:szCs w:val="22"/>
        </w:rPr>
        <w:t xml:space="preserve"> means an engine whose only purpose is to start up a combustion turbine.</w:t>
      </w:r>
    </w:p>
    <w:p w:rsidR="00FD7CCB" w:rsidRPr="00FD7CCB" w:rsidRDefault="00FD7CCB" w:rsidP="00FD7CCB">
      <w:pPr>
        <w:pStyle w:val="NormalWeb"/>
        <w:rPr>
          <w:sz w:val="22"/>
          <w:szCs w:val="22"/>
        </w:rPr>
      </w:pPr>
      <w:r w:rsidRPr="00FD7CCB">
        <w:rPr>
          <w:i/>
          <w:iCs/>
          <w:sz w:val="22"/>
          <w:szCs w:val="22"/>
        </w:rPr>
        <w:t>CAA</w:t>
      </w:r>
      <w:r w:rsidRPr="00FD7CCB">
        <w:rPr>
          <w:sz w:val="22"/>
          <w:szCs w:val="22"/>
        </w:rPr>
        <w:t xml:space="preserve"> means the Clean Air Act (42 U.S.C. 7401 </w:t>
      </w:r>
      <w:r w:rsidRPr="00FD7CCB">
        <w:rPr>
          <w:i/>
          <w:iCs/>
          <w:sz w:val="22"/>
          <w:szCs w:val="22"/>
        </w:rPr>
        <w:t>et seq.,</w:t>
      </w:r>
      <w:r w:rsidRPr="00FD7CCB">
        <w:rPr>
          <w:sz w:val="22"/>
          <w:szCs w:val="22"/>
        </w:rPr>
        <w:t xml:space="preserve"> as amended by Public Law 101-549, 104 Stat. 2399).</w:t>
      </w:r>
    </w:p>
    <w:p w:rsidR="00FD7CCB" w:rsidRPr="00FD7CCB" w:rsidRDefault="00FD7CCB" w:rsidP="00FD7CCB">
      <w:pPr>
        <w:pStyle w:val="NormalWeb"/>
        <w:rPr>
          <w:sz w:val="22"/>
          <w:szCs w:val="22"/>
        </w:rPr>
      </w:pPr>
      <w:r w:rsidRPr="00FD7CCB">
        <w:rPr>
          <w:i/>
          <w:iCs/>
          <w:sz w:val="22"/>
          <w:szCs w:val="22"/>
        </w:rPr>
        <w:t>Commercial emergency stationary RICE</w:t>
      </w:r>
      <w:r w:rsidRPr="00FD7CCB">
        <w:rPr>
          <w:sz w:val="22"/>
          <w:szCs w:val="22"/>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FD7CCB" w:rsidRPr="00FD7CCB" w:rsidRDefault="00FD7CCB" w:rsidP="00FD7CCB">
      <w:pPr>
        <w:pStyle w:val="NormalWeb"/>
        <w:rPr>
          <w:sz w:val="22"/>
          <w:szCs w:val="22"/>
        </w:rPr>
      </w:pPr>
      <w:r w:rsidRPr="00FD7CCB">
        <w:rPr>
          <w:i/>
          <w:iCs/>
          <w:sz w:val="22"/>
          <w:szCs w:val="22"/>
        </w:rPr>
        <w:t>Compression ignition</w:t>
      </w:r>
      <w:r w:rsidRPr="00FD7CCB">
        <w:rPr>
          <w:sz w:val="22"/>
          <w:szCs w:val="22"/>
        </w:rPr>
        <w:t xml:space="preserve"> means relating to a type of stationary internal combustion engine that is not a spark ignition engine.</w:t>
      </w:r>
    </w:p>
    <w:p w:rsidR="00FD7CCB" w:rsidRPr="00FD7CCB" w:rsidRDefault="00FD7CCB" w:rsidP="00FD7CCB">
      <w:pPr>
        <w:pStyle w:val="NormalWeb"/>
        <w:rPr>
          <w:sz w:val="22"/>
          <w:szCs w:val="22"/>
        </w:rPr>
      </w:pPr>
      <w:r w:rsidRPr="00FD7CCB">
        <w:rPr>
          <w:i/>
          <w:iCs/>
          <w:sz w:val="22"/>
          <w:szCs w:val="22"/>
        </w:rPr>
        <w:t>Custody transfer</w:t>
      </w:r>
      <w:r w:rsidRPr="00FD7CCB">
        <w:rPr>
          <w:sz w:val="22"/>
          <w:szCs w:val="22"/>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FD7CCB" w:rsidRPr="00FD7CCB" w:rsidRDefault="00FD7CCB" w:rsidP="00FD7CCB">
      <w:pPr>
        <w:pStyle w:val="NormalWeb"/>
        <w:rPr>
          <w:sz w:val="22"/>
          <w:szCs w:val="22"/>
        </w:rPr>
      </w:pPr>
      <w:r w:rsidRPr="00FD7CCB">
        <w:rPr>
          <w:i/>
          <w:iCs/>
          <w:sz w:val="22"/>
          <w:szCs w:val="22"/>
        </w:rPr>
        <w:t>Deviation</w:t>
      </w:r>
      <w:r w:rsidRPr="00FD7CCB">
        <w:rPr>
          <w:sz w:val="22"/>
          <w:szCs w:val="22"/>
        </w:rPr>
        <w:t xml:space="preserve"> means any instance in which an affected source subject to this subpart, or an owner or operator of such a source:</w:t>
      </w:r>
    </w:p>
    <w:p w:rsidR="00FD7CCB" w:rsidRPr="00FD7CCB" w:rsidRDefault="00FD7CCB" w:rsidP="00FD7CCB">
      <w:pPr>
        <w:pStyle w:val="NormalWeb"/>
        <w:rPr>
          <w:sz w:val="22"/>
          <w:szCs w:val="22"/>
        </w:rPr>
      </w:pPr>
      <w:r w:rsidRPr="00FD7CCB">
        <w:rPr>
          <w:sz w:val="22"/>
          <w:szCs w:val="22"/>
        </w:rPr>
        <w:t>(1) Fails to meet any requirement or obligation established by this subpart, including but not limited to any emission limitation or operating limitation;</w:t>
      </w:r>
    </w:p>
    <w:p w:rsidR="00FD7CCB" w:rsidRPr="00FD7CCB" w:rsidRDefault="00FD7CCB" w:rsidP="00FD7CCB">
      <w:pPr>
        <w:pStyle w:val="NormalWeb"/>
        <w:rPr>
          <w:sz w:val="22"/>
          <w:szCs w:val="22"/>
        </w:rPr>
      </w:pPr>
      <w:r w:rsidRPr="00FD7CCB">
        <w:rPr>
          <w:sz w:val="22"/>
          <w:szCs w:val="22"/>
        </w:rPr>
        <w:t>(2) Fails to meet any term or condition that is adopted to implement an applicable requirement in this subpart and that is included in the operating permit for any affected source required to obtain such a permit; or</w:t>
      </w:r>
    </w:p>
    <w:p w:rsidR="00FD7CCB" w:rsidRPr="00FD7CCB" w:rsidRDefault="00FD7CCB" w:rsidP="00FD7CCB">
      <w:pPr>
        <w:pStyle w:val="NormalWeb"/>
        <w:rPr>
          <w:sz w:val="22"/>
          <w:szCs w:val="22"/>
        </w:rPr>
      </w:pPr>
      <w:r w:rsidRPr="00FD7CCB">
        <w:rPr>
          <w:sz w:val="22"/>
          <w:szCs w:val="22"/>
        </w:rPr>
        <w:t xml:space="preserve">(3) Fails to meet any emission limitation or operating limitation in this subpart during malfunction, regardless or </w:t>
      </w:r>
      <w:proofErr w:type="gramStart"/>
      <w:r w:rsidRPr="00FD7CCB">
        <w:rPr>
          <w:sz w:val="22"/>
          <w:szCs w:val="22"/>
        </w:rPr>
        <w:t>whether or not</w:t>
      </w:r>
      <w:proofErr w:type="gramEnd"/>
      <w:r w:rsidRPr="00FD7CCB">
        <w:rPr>
          <w:sz w:val="22"/>
          <w:szCs w:val="22"/>
        </w:rPr>
        <w:t xml:space="preserve"> such failure is permitted by this subpart.</w:t>
      </w:r>
    </w:p>
    <w:p w:rsidR="00FD7CCB" w:rsidRPr="00FD7CCB" w:rsidRDefault="00FD7CCB" w:rsidP="00FD7CCB">
      <w:pPr>
        <w:pStyle w:val="NormalWeb"/>
        <w:rPr>
          <w:sz w:val="22"/>
          <w:szCs w:val="22"/>
        </w:rPr>
      </w:pPr>
      <w:r w:rsidRPr="00FD7CCB">
        <w:rPr>
          <w:sz w:val="22"/>
          <w:szCs w:val="22"/>
        </w:rPr>
        <w:lastRenderedPageBreak/>
        <w:t>(4) Fails to satisfy the general duty to minimize emissions established by §63.6(e)(1)(i).</w:t>
      </w:r>
    </w:p>
    <w:p w:rsidR="00FD7CCB" w:rsidRPr="00FD7CCB" w:rsidRDefault="00FD7CCB" w:rsidP="00FD7CCB">
      <w:pPr>
        <w:pStyle w:val="NormalWeb"/>
        <w:rPr>
          <w:sz w:val="22"/>
          <w:szCs w:val="22"/>
        </w:rPr>
      </w:pPr>
      <w:r w:rsidRPr="00FD7CCB">
        <w:rPr>
          <w:i/>
          <w:iCs/>
          <w:sz w:val="22"/>
          <w:szCs w:val="22"/>
        </w:rPr>
        <w:t>Diesel engine</w:t>
      </w:r>
      <w:r w:rsidRPr="00FD7CCB">
        <w:rPr>
          <w:sz w:val="22"/>
          <w:szCs w:val="22"/>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FD7CCB" w:rsidRPr="00FD7CCB" w:rsidRDefault="00FD7CCB" w:rsidP="00FD7CCB">
      <w:pPr>
        <w:pStyle w:val="NormalWeb"/>
        <w:rPr>
          <w:sz w:val="22"/>
          <w:szCs w:val="22"/>
        </w:rPr>
      </w:pPr>
      <w:r w:rsidRPr="00FD7CCB">
        <w:rPr>
          <w:i/>
          <w:iCs/>
          <w:sz w:val="22"/>
          <w:szCs w:val="22"/>
        </w:rPr>
        <w:t>Diesel fuel</w:t>
      </w:r>
      <w:r w:rsidRPr="00FD7CCB">
        <w:rPr>
          <w:sz w:val="22"/>
          <w:szCs w:val="22"/>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FD7CCB">
        <w:rPr>
          <w:i/>
          <w:iCs/>
          <w:sz w:val="22"/>
          <w:szCs w:val="22"/>
        </w:rPr>
        <w:t>e.g.</w:t>
      </w:r>
      <w:r w:rsidRPr="00FD7CCB">
        <w:rPr>
          <w:sz w:val="22"/>
          <w:szCs w:val="22"/>
        </w:rPr>
        <w:t xml:space="preserve"> biodiesel) that is suitable for use in compression ignition engines.</w:t>
      </w:r>
    </w:p>
    <w:p w:rsidR="00FD7CCB" w:rsidRPr="00FD7CCB" w:rsidRDefault="00FD7CCB" w:rsidP="00FD7CCB">
      <w:pPr>
        <w:pStyle w:val="NormalWeb"/>
        <w:rPr>
          <w:sz w:val="22"/>
          <w:szCs w:val="22"/>
        </w:rPr>
      </w:pPr>
      <w:r w:rsidRPr="00FD7CCB">
        <w:rPr>
          <w:i/>
          <w:iCs/>
          <w:sz w:val="22"/>
          <w:szCs w:val="22"/>
        </w:rPr>
        <w:t>Digester gas</w:t>
      </w:r>
      <w:r w:rsidRPr="00FD7CCB">
        <w:rPr>
          <w:sz w:val="22"/>
          <w:szCs w:val="22"/>
        </w:rPr>
        <w:t xml:space="preserve"> means any gaseous by-product of wastewater treatment typically formed through the anaerobic decomposition of organic waste materials and composed principally of methane and CO</w:t>
      </w:r>
      <w:r w:rsidRPr="00FD7CCB">
        <w:rPr>
          <w:sz w:val="22"/>
          <w:szCs w:val="22"/>
          <w:vertAlign w:val="subscript"/>
        </w:rPr>
        <w:t>2</w:t>
      </w:r>
      <w:r w:rsidRPr="00FD7CCB">
        <w:rPr>
          <w:sz w:val="22"/>
          <w:szCs w:val="22"/>
        </w:rPr>
        <w:t>.</w:t>
      </w:r>
    </w:p>
    <w:p w:rsidR="00FD7CCB" w:rsidRPr="00FD7CCB" w:rsidRDefault="00FD7CCB" w:rsidP="00FD7CCB">
      <w:pPr>
        <w:pStyle w:val="NormalWeb"/>
        <w:rPr>
          <w:sz w:val="22"/>
          <w:szCs w:val="22"/>
        </w:rPr>
      </w:pPr>
      <w:r w:rsidRPr="00FD7CCB">
        <w:rPr>
          <w:i/>
          <w:iCs/>
          <w:sz w:val="22"/>
          <w:szCs w:val="22"/>
        </w:rPr>
        <w:t>Dual-fuel engine</w:t>
      </w:r>
      <w:r w:rsidRPr="00FD7CCB">
        <w:rPr>
          <w:sz w:val="22"/>
          <w:szCs w:val="22"/>
        </w:rPr>
        <w:t xml:space="preserve"> means any stationary RICE in which a liquid fuel (typically diesel fuel) is used for compression ignition and gaseous fuel (typically natural gas) is used as the primary fuel.</w:t>
      </w:r>
    </w:p>
    <w:p w:rsidR="00FD7CCB" w:rsidRPr="00FD7CCB" w:rsidRDefault="00FD7CCB" w:rsidP="00FD7CCB">
      <w:pPr>
        <w:pStyle w:val="NormalWeb"/>
        <w:rPr>
          <w:sz w:val="22"/>
          <w:szCs w:val="22"/>
        </w:rPr>
      </w:pPr>
      <w:r w:rsidRPr="00FD7CCB">
        <w:rPr>
          <w:i/>
          <w:iCs/>
          <w:sz w:val="22"/>
          <w:szCs w:val="22"/>
        </w:rPr>
        <w:t>Emergency stationary RICE</w:t>
      </w:r>
      <w:r w:rsidRPr="00FD7CCB">
        <w:rPr>
          <w:sz w:val="22"/>
          <w:szCs w:val="22"/>
        </w:rPr>
        <w:t xml:space="preserve"> means any stationary reciprocating internal combustion engine that meets </w:t>
      </w:r>
      <w:proofErr w:type="gramStart"/>
      <w:r w:rsidRPr="00FD7CCB">
        <w:rPr>
          <w:sz w:val="22"/>
          <w:szCs w:val="22"/>
        </w:rPr>
        <w:t>all of</w:t>
      </w:r>
      <w:proofErr w:type="gramEnd"/>
      <w:r w:rsidRPr="00FD7CCB">
        <w:rPr>
          <w:sz w:val="22"/>
          <w:szCs w:val="22"/>
        </w:rPr>
        <w:t xml:space="preserve"> the criteria in paragraphs (1) through (3) of this definition. All emergency stationary RICE must comply with the requirements specified in §63.6640(f) </w:t>
      </w:r>
      <w:proofErr w:type="gramStart"/>
      <w:r w:rsidRPr="00FD7CCB">
        <w:rPr>
          <w:sz w:val="22"/>
          <w:szCs w:val="22"/>
        </w:rPr>
        <w:t>in order to</w:t>
      </w:r>
      <w:proofErr w:type="gramEnd"/>
      <w:r w:rsidRPr="00FD7CCB">
        <w:rPr>
          <w:sz w:val="22"/>
          <w:szCs w:val="22"/>
        </w:rPr>
        <w:t xml:space="preserve"> be considered emergency stationary RICE. If the engine does not comply with the requirements specified in §63.6640(f), then it is not considered to be an emergency stationary RICE under this subpart.</w:t>
      </w:r>
    </w:p>
    <w:p w:rsidR="00FD7CCB" w:rsidRPr="00FD7CCB" w:rsidRDefault="00FD7CCB" w:rsidP="00FD7CCB">
      <w:pPr>
        <w:pStyle w:val="NormalWeb"/>
        <w:rPr>
          <w:sz w:val="22"/>
          <w:szCs w:val="22"/>
        </w:rPr>
      </w:pPr>
      <w:r w:rsidRPr="00FD7CCB">
        <w:rPr>
          <w:sz w:val="22"/>
          <w:szCs w:val="22"/>
        </w:rPr>
        <w:t xml:space="preserve">(1) The stationary RICE is operated to provide electrical power or mechanical work during </w:t>
      </w:r>
      <w:proofErr w:type="gramStart"/>
      <w:r w:rsidRPr="00FD7CCB">
        <w:rPr>
          <w:sz w:val="22"/>
          <w:szCs w:val="22"/>
        </w:rPr>
        <w:t>an emergency situation</w:t>
      </w:r>
      <w:proofErr w:type="gramEnd"/>
      <w:r w:rsidRPr="00FD7CCB">
        <w:rPr>
          <w:sz w:val="22"/>
          <w:szCs w:val="22"/>
        </w:rPr>
        <w:t>.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FD7CCB" w:rsidRPr="00FD7CCB" w:rsidRDefault="00FD7CCB" w:rsidP="00FD7CCB">
      <w:pPr>
        <w:pStyle w:val="NormalWeb"/>
        <w:rPr>
          <w:sz w:val="22"/>
          <w:szCs w:val="22"/>
        </w:rPr>
      </w:pPr>
      <w:r w:rsidRPr="00FD7CCB">
        <w:rPr>
          <w:sz w:val="22"/>
          <w:szCs w:val="22"/>
        </w:rPr>
        <w:t>(2) The stationary RICE is operated under limited circumstances for situations not included in paragraph (1) of this definition, as specified in §63.6640(f).</w:t>
      </w:r>
    </w:p>
    <w:p w:rsidR="00FD7CCB" w:rsidRPr="00FD7CCB" w:rsidRDefault="00FD7CCB" w:rsidP="00FD7CCB">
      <w:pPr>
        <w:pStyle w:val="NormalWeb"/>
        <w:rPr>
          <w:sz w:val="22"/>
          <w:szCs w:val="22"/>
        </w:rPr>
      </w:pPr>
      <w:r w:rsidRPr="00FD7CCB">
        <w:rPr>
          <w:sz w:val="22"/>
          <w:szCs w:val="22"/>
        </w:rPr>
        <w:t>(3) The stationary RICE operates as part of a financial arrangement with another entity in situations not included in paragraph (1) of this definition only as allowed in §63.6640(f)(2)(ii) or (iii) and §63.6640(f)(4)(i) or (ii).</w:t>
      </w:r>
    </w:p>
    <w:p w:rsidR="00FD7CCB" w:rsidRPr="00FD7CCB" w:rsidRDefault="00FD7CCB" w:rsidP="00FD7CCB">
      <w:pPr>
        <w:pStyle w:val="NormalWeb"/>
        <w:rPr>
          <w:sz w:val="22"/>
          <w:szCs w:val="22"/>
        </w:rPr>
      </w:pPr>
      <w:r w:rsidRPr="00FD7CCB">
        <w:rPr>
          <w:i/>
          <w:iCs/>
          <w:sz w:val="22"/>
          <w:szCs w:val="22"/>
        </w:rPr>
        <w:t>Engine startup</w:t>
      </w:r>
      <w:r w:rsidRPr="00FD7CCB">
        <w:rPr>
          <w:sz w:val="22"/>
          <w:szCs w:val="22"/>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FD7CCB" w:rsidRPr="00FD7CCB" w:rsidRDefault="00FD7CCB" w:rsidP="00FD7CCB">
      <w:pPr>
        <w:pStyle w:val="NormalWeb"/>
        <w:rPr>
          <w:sz w:val="22"/>
          <w:szCs w:val="22"/>
        </w:rPr>
      </w:pPr>
      <w:r w:rsidRPr="00FD7CCB">
        <w:rPr>
          <w:i/>
          <w:iCs/>
          <w:sz w:val="22"/>
          <w:szCs w:val="22"/>
        </w:rPr>
        <w:t>Four-stroke engine</w:t>
      </w:r>
      <w:r w:rsidRPr="00FD7CCB">
        <w:rPr>
          <w:sz w:val="22"/>
          <w:szCs w:val="22"/>
        </w:rPr>
        <w:t xml:space="preserve"> means any type of engine which completes the power cycle in two crankshaft revolutions, with intake and compression strokes in the first revolution and power and exhaust strokes in the second revolution.</w:t>
      </w:r>
    </w:p>
    <w:p w:rsidR="00FD7CCB" w:rsidRPr="00FD7CCB" w:rsidRDefault="00FD7CCB" w:rsidP="00FD7CCB">
      <w:pPr>
        <w:pStyle w:val="NormalWeb"/>
        <w:rPr>
          <w:sz w:val="22"/>
          <w:szCs w:val="22"/>
        </w:rPr>
      </w:pPr>
      <w:r w:rsidRPr="00FD7CCB">
        <w:rPr>
          <w:i/>
          <w:iCs/>
          <w:sz w:val="22"/>
          <w:szCs w:val="22"/>
        </w:rPr>
        <w:t>Gaseous fuel</w:t>
      </w:r>
      <w:r w:rsidRPr="00FD7CCB">
        <w:rPr>
          <w:sz w:val="22"/>
          <w:szCs w:val="22"/>
        </w:rPr>
        <w:t xml:space="preserve"> means a material used for combustion which is in the gaseous state at standard atmospheric temperature and pressure conditions.</w:t>
      </w:r>
    </w:p>
    <w:p w:rsidR="00FD7CCB" w:rsidRPr="00FD7CCB" w:rsidRDefault="00FD7CCB" w:rsidP="00FD7CCB">
      <w:pPr>
        <w:pStyle w:val="NormalWeb"/>
        <w:rPr>
          <w:sz w:val="22"/>
          <w:szCs w:val="22"/>
        </w:rPr>
      </w:pPr>
      <w:r w:rsidRPr="00FD7CCB">
        <w:rPr>
          <w:i/>
          <w:iCs/>
          <w:sz w:val="22"/>
          <w:szCs w:val="22"/>
        </w:rPr>
        <w:lastRenderedPageBreak/>
        <w:t>Gasoline</w:t>
      </w:r>
      <w:r w:rsidRPr="00FD7CCB">
        <w:rPr>
          <w:sz w:val="22"/>
          <w:szCs w:val="22"/>
        </w:rPr>
        <w:t xml:space="preserve"> means any fuel sold in any State for use in motor vehicles and motor vehicle engines, or nonroad or stationary engines, and commonly or commercially known or sold as gasoline.</w:t>
      </w:r>
    </w:p>
    <w:p w:rsidR="00FD7CCB" w:rsidRPr="00FD7CCB" w:rsidRDefault="00FD7CCB" w:rsidP="00FD7CCB">
      <w:pPr>
        <w:pStyle w:val="NormalWeb"/>
        <w:rPr>
          <w:sz w:val="22"/>
          <w:szCs w:val="22"/>
        </w:rPr>
      </w:pPr>
      <w:r w:rsidRPr="00FD7CCB">
        <w:rPr>
          <w:i/>
          <w:iCs/>
          <w:sz w:val="22"/>
          <w:szCs w:val="22"/>
        </w:rPr>
        <w:t>Glycol dehydration unit</w:t>
      </w:r>
      <w:r w:rsidRPr="00FD7CCB">
        <w:rPr>
          <w:sz w:val="22"/>
          <w:szCs w:val="22"/>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FD7CCB" w:rsidRPr="00FD7CCB" w:rsidRDefault="00FD7CCB" w:rsidP="00FD7CCB">
      <w:pPr>
        <w:pStyle w:val="NormalWeb"/>
        <w:rPr>
          <w:sz w:val="22"/>
          <w:szCs w:val="22"/>
        </w:rPr>
      </w:pPr>
      <w:r w:rsidRPr="00FD7CCB">
        <w:rPr>
          <w:i/>
          <w:iCs/>
          <w:sz w:val="22"/>
          <w:szCs w:val="22"/>
        </w:rPr>
        <w:t>Hazardous air pollutants (HAP)</w:t>
      </w:r>
      <w:r w:rsidRPr="00FD7CCB">
        <w:rPr>
          <w:sz w:val="22"/>
          <w:szCs w:val="22"/>
        </w:rPr>
        <w:t xml:space="preserve"> means any air pollutants listed in or pursuant to section 112(b) of the CAA.</w:t>
      </w:r>
    </w:p>
    <w:p w:rsidR="00FD7CCB" w:rsidRPr="00FD7CCB" w:rsidRDefault="00FD7CCB" w:rsidP="00FD7CCB">
      <w:pPr>
        <w:pStyle w:val="NormalWeb"/>
        <w:rPr>
          <w:sz w:val="22"/>
          <w:szCs w:val="22"/>
        </w:rPr>
      </w:pPr>
      <w:r w:rsidRPr="00FD7CCB">
        <w:rPr>
          <w:i/>
          <w:iCs/>
          <w:sz w:val="22"/>
          <w:szCs w:val="22"/>
        </w:rPr>
        <w:t>Institutional emergency stationary RICE</w:t>
      </w:r>
      <w:r w:rsidRPr="00FD7CCB">
        <w:rPr>
          <w:sz w:val="22"/>
          <w:szCs w:val="22"/>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FD7CCB" w:rsidRPr="00FD7CCB" w:rsidRDefault="00FD7CCB" w:rsidP="00FD7CCB">
      <w:pPr>
        <w:pStyle w:val="NormalWeb"/>
        <w:rPr>
          <w:sz w:val="22"/>
          <w:szCs w:val="22"/>
        </w:rPr>
      </w:pPr>
      <w:r w:rsidRPr="00FD7CCB">
        <w:rPr>
          <w:i/>
          <w:iCs/>
          <w:sz w:val="22"/>
          <w:szCs w:val="22"/>
        </w:rPr>
        <w:t>ISO standard day conditions</w:t>
      </w:r>
      <w:r w:rsidRPr="00FD7CCB">
        <w:rPr>
          <w:sz w:val="22"/>
          <w:szCs w:val="22"/>
        </w:rPr>
        <w:t xml:space="preserve"> means 288 degrees Kelvin (15 degrees Celsius), 60 percent relative humidity and 101.3 kilopascals pressure.</w:t>
      </w:r>
    </w:p>
    <w:p w:rsidR="00FD7CCB" w:rsidRPr="00FD7CCB" w:rsidRDefault="00FD7CCB" w:rsidP="00FD7CCB">
      <w:pPr>
        <w:pStyle w:val="NormalWeb"/>
        <w:rPr>
          <w:sz w:val="22"/>
          <w:szCs w:val="22"/>
        </w:rPr>
      </w:pPr>
      <w:r w:rsidRPr="00FD7CCB">
        <w:rPr>
          <w:i/>
          <w:iCs/>
          <w:sz w:val="22"/>
          <w:szCs w:val="22"/>
        </w:rPr>
        <w:t>Landfill gas</w:t>
      </w:r>
      <w:r w:rsidRPr="00FD7CCB">
        <w:rPr>
          <w:sz w:val="22"/>
          <w:szCs w:val="22"/>
        </w:rPr>
        <w:t xml:space="preserve"> means a gaseous by-product of the land application of municipal refuse typically formed through the anaerobic decomposition of waste materials and composed principally of methane and CO</w:t>
      </w:r>
      <w:r w:rsidRPr="00FD7CCB">
        <w:rPr>
          <w:sz w:val="22"/>
          <w:szCs w:val="22"/>
          <w:vertAlign w:val="subscript"/>
        </w:rPr>
        <w:t>2</w:t>
      </w:r>
      <w:r w:rsidRPr="00FD7CCB">
        <w:rPr>
          <w:sz w:val="22"/>
          <w:szCs w:val="22"/>
        </w:rPr>
        <w:t>.</w:t>
      </w:r>
    </w:p>
    <w:p w:rsidR="00FD7CCB" w:rsidRPr="00FD7CCB" w:rsidRDefault="00FD7CCB" w:rsidP="00FD7CCB">
      <w:pPr>
        <w:pStyle w:val="NormalWeb"/>
        <w:rPr>
          <w:sz w:val="22"/>
          <w:szCs w:val="22"/>
        </w:rPr>
      </w:pPr>
      <w:r w:rsidRPr="00FD7CCB">
        <w:rPr>
          <w:i/>
          <w:iCs/>
          <w:sz w:val="22"/>
          <w:szCs w:val="22"/>
        </w:rPr>
        <w:t>Lean burn engine</w:t>
      </w:r>
      <w:r w:rsidRPr="00FD7CCB">
        <w:rPr>
          <w:sz w:val="22"/>
          <w:szCs w:val="22"/>
        </w:rPr>
        <w:t xml:space="preserve"> means any two-stroke or four-stroke spark ignited engine that does not meet the definition of a rich burn engine.</w:t>
      </w:r>
    </w:p>
    <w:p w:rsidR="00FD7CCB" w:rsidRPr="00FD7CCB" w:rsidRDefault="00FD7CCB" w:rsidP="00FD7CCB">
      <w:pPr>
        <w:pStyle w:val="NormalWeb"/>
        <w:rPr>
          <w:sz w:val="22"/>
          <w:szCs w:val="22"/>
        </w:rPr>
      </w:pPr>
      <w:r w:rsidRPr="00FD7CCB">
        <w:rPr>
          <w:i/>
          <w:iCs/>
          <w:sz w:val="22"/>
          <w:szCs w:val="22"/>
        </w:rPr>
        <w:t>Limited use stationary RICE</w:t>
      </w:r>
      <w:r w:rsidRPr="00FD7CCB">
        <w:rPr>
          <w:sz w:val="22"/>
          <w:szCs w:val="22"/>
        </w:rPr>
        <w:t xml:space="preserve"> means any stationary RICE that operates less than 100 hours per year.</w:t>
      </w:r>
    </w:p>
    <w:p w:rsidR="00FD7CCB" w:rsidRPr="00FD7CCB" w:rsidRDefault="00FD7CCB" w:rsidP="00FD7CCB">
      <w:pPr>
        <w:pStyle w:val="NormalWeb"/>
        <w:rPr>
          <w:sz w:val="22"/>
          <w:szCs w:val="22"/>
        </w:rPr>
      </w:pPr>
      <w:r w:rsidRPr="00FD7CCB">
        <w:rPr>
          <w:i/>
          <w:iCs/>
          <w:sz w:val="22"/>
          <w:szCs w:val="22"/>
        </w:rPr>
        <w:t>Liquefied petroleum gas</w:t>
      </w:r>
      <w:r w:rsidRPr="00FD7CCB">
        <w:rPr>
          <w:sz w:val="22"/>
          <w:szCs w:val="22"/>
        </w:rPr>
        <w:t xml:space="preserve"> means any liquefied hydrocarbon gas obtained as a by-product in petroleum refining of natural gas production.</w:t>
      </w:r>
    </w:p>
    <w:p w:rsidR="00FD7CCB" w:rsidRPr="00FD7CCB" w:rsidRDefault="00FD7CCB" w:rsidP="00FD7CCB">
      <w:pPr>
        <w:pStyle w:val="NormalWeb"/>
        <w:rPr>
          <w:sz w:val="22"/>
          <w:szCs w:val="22"/>
        </w:rPr>
      </w:pPr>
      <w:r w:rsidRPr="00FD7CCB">
        <w:rPr>
          <w:i/>
          <w:iCs/>
          <w:sz w:val="22"/>
          <w:szCs w:val="22"/>
        </w:rPr>
        <w:t>Liquid fuel</w:t>
      </w:r>
      <w:r w:rsidRPr="00FD7CCB">
        <w:rPr>
          <w:sz w:val="22"/>
          <w:szCs w:val="22"/>
        </w:rPr>
        <w:t xml:space="preserve"> means any fuel in liquid form at standard temperature and pressure, including but not limited to diesel, residual/crude oil, kerosene/naphtha (jet fuel), and gasoline.</w:t>
      </w:r>
    </w:p>
    <w:p w:rsidR="00FD7CCB" w:rsidRPr="00FD7CCB" w:rsidRDefault="00FD7CCB" w:rsidP="00FD7CCB">
      <w:pPr>
        <w:pStyle w:val="NormalWeb"/>
        <w:rPr>
          <w:sz w:val="22"/>
          <w:szCs w:val="22"/>
        </w:rPr>
      </w:pPr>
      <w:r w:rsidRPr="00FD7CCB">
        <w:rPr>
          <w:i/>
          <w:iCs/>
          <w:sz w:val="22"/>
          <w:szCs w:val="22"/>
        </w:rPr>
        <w:t>Major Source,</w:t>
      </w:r>
      <w:r w:rsidRPr="00FD7CCB">
        <w:rPr>
          <w:sz w:val="22"/>
          <w:szCs w:val="22"/>
        </w:rPr>
        <w:t xml:space="preserve"> as used in this subpart, shall have the same meaning as in §63.2, except that:</w:t>
      </w:r>
    </w:p>
    <w:p w:rsidR="00FD7CCB" w:rsidRPr="00FD7CCB" w:rsidRDefault="00FD7CCB" w:rsidP="00FD7CCB">
      <w:pPr>
        <w:pStyle w:val="NormalWeb"/>
        <w:rPr>
          <w:sz w:val="22"/>
          <w:szCs w:val="22"/>
        </w:rPr>
      </w:pPr>
      <w:r w:rsidRPr="00FD7CCB">
        <w:rPr>
          <w:sz w:val="22"/>
          <w:szCs w:val="22"/>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FD7CCB" w:rsidRPr="00FD7CCB" w:rsidRDefault="00FD7CCB" w:rsidP="00FD7CCB">
      <w:pPr>
        <w:pStyle w:val="NormalWeb"/>
        <w:rPr>
          <w:sz w:val="22"/>
          <w:szCs w:val="22"/>
        </w:rPr>
      </w:pPr>
      <w:r w:rsidRPr="00FD7CCB">
        <w:rPr>
          <w:sz w:val="22"/>
          <w:szCs w:val="22"/>
        </w:rPr>
        <w:t>(2) For oil and gas production facilities, emissions from processes, operations, or equipment that are not part of the same oil and gas production facility, as defined in §63.1271 of subpart HHH of this part, shall not be aggregated;</w:t>
      </w:r>
    </w:p>
    <w:p w:rsidR="00FD7CCB" w:rsidRPr="00FD7CCB" w:rsidRDefault="00FD7CCB" w:rsidP="00FD7CCB">
      <w:pPr>
        <w:pStyle w:val="NormalWeb"/>
        <w:rPr>
          <w:sz w:val="22"/>
          <w:szCs w:val="22"/>
        </w:rPr>
      </w:pPr>
      <w:r w:rsidRPr="00FD7CCB">
        <w:rPr>
          <w:sz w:val="22"/>
          <w:szCs w:val="22"/>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FD7CCB" w:rsidRPr="00FD7CCB" w:rsidRDefault="00FD7CCB" w:rsidP="00FD7CCB">
      <w:pPr>
        <w:pStyle w:val="NormalWeb"/>
        <w:rPr>
          <w:sz w:val="22"/>
          <w:szCs w:val="22"/>
        </w:rPr>
      </w:pPr>
      <w:r w:rsidRPr="00FD7CCB">
        <w:rPr>
          <w:sz w:val="22"/>
          <w:szCs w:val="22"/>
        </w:rPr>
        <w:lastRenderedPageBreak/>
        <w:t>(4) Emissions from processes, operations, and equipment that are not part of the same natural gas transmission and storage facility, as defined in §63.1271 of subpart HHH of this part, shall not be aggregated.</w:t>
      </w:r>
    </w:p>
    <w:p w:rsidR="00FD7CCB" w:rsidRPr="00FD7CCB" w:rsidRDefault="00FD7CCB" w:rsidP="00FD7CCB">
      <w:pPr>
        <w:pStyle w:val="NormalWeb"/>
        <w:rPr>
          <w:sz w:val="22"/>
          <w:szCs w:val="22"/>
        </w:rPr>
      </w:pPr>
      <w:r w:rsidRPr="00FD7CCB">
        <w:rPr>
          <w:i/>
          <w:iCs/>
          <w:sz w:val="22"/>
          <w:szCs w:val="22"/>
        </w:rPr>
        <w:t>Malfunction</w:t>
      </w:r>
      <w:r w:rsidRPr="00FD7CCB">
        <w:rPr>
          <w:sz w:val="22"/>
          <w:szCs w:val="22"/>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FD7CCB" w:rsidRPr="00FD7CCB" w:rsidRDefault="00FD7CCB" w:rsidP="00FD7CCB">
      <w:pPr>
        <w:pStyle w:val="NormalWeb"/>
        <w:rPr>
          <w:sz w:val="22"/>
          <w:szCs w:val="22"/>
        </w:rPr>
      </w:pPr>
      <w:r w:rsidRPr="00FD7CCB">
        <w:rPr>
          <w:i/>
          <w:iCs/>
          <w:sz w:val="22"/>
          <w:szCs w:val="22"/>
        </w:rPr>
        <w:t>Natural gas</w:t>
      </w:r>
      <w:r w:rsidRPr="00FD7CCB">
        <w:rPr>
          <w:sz w:val="22"/>
          <w:szCs w:val="22"/>
        </w:rPr>
        <w:t xml:space="preserve"> means a naturally occurring mixture of hydrocarbon and non-hydrocarbon gases found in geologic formations beneath the Earth's surface, of which the principal constituent is methane. Natural gas may be field or pipeline quality.</w:t>
      </w:r>
    </w:p>
    <w:p w:rsidR="00FD7CCB" w:rsidRPr="00FD7CCB" w:rsidRDefault="00FD7CCB" w:rsidP="00FD7CCB">
      <w:pPr>
        <w:pStyle w:val="NormalWeb"/>
        <w:rPr>
          <w:sz w:val="22"/>
          <w:szCs w:val="22"/>
        </w:rPr>
      </w:pPr>
      <w:r w:rsidRPr="00FD7CCB">
        <w:rPr>
          <w:i/>
          <w:iCs/>
          <w:sz w:val="22"/>
          <w:szCs w:val="22"/>
        </w:rPr>
        <w:t>Non-selective catalytic reduction (NSCR)</w:t>
      </w:r>
      <w:r w:rsidRPr="00FD7CCB">
        <w:rPr>
          <w:sz w:val="22"/>
          <w:szCs w:val="22"/>
        </w:rPr>
        <w:t xml:space="preserve"> means an add-on catalytic nitrogen oxides (NO</w:t>
      </w:r>
      <w:r w:rsidRPr="00FD7CCB">
        <w:rPr>
          <w:sz w:val="22"/>
          <w:szCs w:val="22"/>
          <w:vertAlign w:val="subscript"/>
        </w:rPr>
        <w:t>X</w:t>
      </w:r>
      <w:r w:rsidRPr="00FD7CCB">
        <w:rPr>
          <w:sz w:val="22"/>
          <w:szCs w:val="22"/>
        </w:rPr>
        <w:t>) control device for rich burn engines that, in a two-step reaction, promotes the conversion of excess oxygen, NO</w:t>
      </w:r>
      <w:r w:rsidRPr="00FD7CCB">
        <w:rPr>
          <w:sz w:val="22"/>
          <w:szCs w:val="22"/>
          <w:vertAlign w:val="subscript"/>
        </w:rPr>
        <w:t>X</w:t>
      </w:r>
      <w:r w:rsidRPr="00FD7CCB">
        <w:rPr>
          <w:sz w:val="22"/>
          <w:szCs w:val="22"/>
        </w:rPr>
        <w:t>, CO, and volatile organic compounds (VOC) into CO</w:t>
      </w:r>
      <w:r w:rsidRPr="00FD7CCB">
        <w:rPr>
          <w:sz w:val="22"/>
          <w:szCs w:val="22"/>
          <w:vertAlign w:val="subscript"/>
        </w:rPr>
        <w:t>2</w:t>
      </w:r>
      <w:r w:rsidRPr="00FD7CCB">
        <w:rPr>
          <w:sz w:val="22"/>
          <w:szCs w:val="22"/>
        </w:rPr>
        <w:t>, nitrogen, and water.</w:t>
      </w:r>
    </w:p>
    <w:p w:rsidR="00FD7CCB" w:rsidRPr="00FD7CCB" w:rsidRDefault="00FD7CCB" w:rsidP="00FD7CCB">
      <w:pPr>
        <w:pStyle w:val="NormalWeb"/>
        <w:rPr>
          <w:sz w:val="22"/>
          <w:szCs w:val="22"/>
        </w:rPr>
      </w:pPr>
      <w:r w:rsidRPr="00FD7CCB">
        <w:rPr>
          <w:i/>
          <w:iCs/>
          <w:sz w:val="22"/>
          <w:szCs w:val="22"/>
        </w:rPr>
        <w:t>Oil and gas production facility</w:t>
      </w:r>
      <w:r w:rsidRPr="00FD7CCB">
        <w:rPr>
          <w:sz w:val="22"/>
          <w:szCs w:val="22"/>
        </w:rPr>
        <w:t xml:space="preserve"> as used in this subpart means any grouping of equipment where hydrocarbon liquids are processed, upgraded (</w:t>
      </w:r>
      <w:r w:rsidRPr="00FD7CCB">
        <w:rPr>
          <w:i/>
          <w:iCs/>
          <w:sz w:val="22"/>
          <w:szCs w:val="22"/>
        </w:rPr>
        <w:t>i.e.,</w:t>
      </w:r>
      <w:r w:rsidRPr="00FD7CCB">
        <w:rPr>
          <w:sz w:val="22"/>
          <w:szCs w:val="22"/>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w:t>
      </w:r>
      <w:proofErr w:type="gramStart"/>
      <w:r w:rsidRPr="00FD7CCB">
        <w:rPr>
          <w:sz w:val="22"/>
          <w:szCs w:val="22"/>
        </w:rPr>
        <w:t>close proximity</w:t>
      </w:r>
      <w:proofErr w:type="gramEnd"/>
      <w:r w:rsidRPr="00FD7CCB">
        <w:rPr>
          <w:sz w:val="22"/>
          <w:szCs w:val="22"/>
        </w:rPr>
        <w:t xml:space="preserve"> to other equipment located at the same facility. Pieces of production equipment or groupings of equipment located on different oil and gas leases, mineral fee tracts, lease tracts, subsurface or surface unit areas, surface fee tracts, surface lease tracts, or separate surface sites, </w:t>
      </w:r>
      <w:proofErr w:type="gramStart"/>
      <w:r w:rsidRPr="00FD7CCB">
        <w:rPr>
          <w:sz w:val="22"/>
          <w:szCs w:val="22"/>
        </w:rPr>
        <w:t>whether or not</w:t>
      </w:r>
      <w:proofErr w:type="gramEnd"/>
      <w:r w:rsidRPr="00FD7CCB">
        <w:rPr>
          <w:sz w:val="22"/>
          <w:szCs w:val="22"/>
        </w:rPr>
        <w:t xml:space="preserve">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FD7CCB" w:rsidRPr="00FD7CCB" w:rsidRDefault="00FD7CCB" w:rsidP="00FD7CCB">
      <w:pPr>
        <w:pStyle w:val="NormalWeb"/>
        <w:rPr>
          <w:sz w:val="22"/>
          <w:szCs w:val="22"/>
        </w:rPr>
      </w:pPr>
      <w:r w:rsidRPr="00FD7CCB">
        <w:rPr>
          <w:i/>
          <w:iCs/>
          <w:sz w:val="22"/>
          <w:szCs w:val="22"/>
        </w:rPr>
        <w:t>Oxidation catalyst</w:t>
      </w:r>
      <w:r w:rsidRPr="00FD7CCB">
        <w:rPr>
          <w:sz w:val="22"/>
          <w:szCs w:val="22"/>
        </w:rPr>
        <w:t xml:space="preserve"> means an add-on catalytic control device that controls CO and VOC by oxidation.</w:t>
      </w:r>
    </w:p>
    <w:p w:rsidR="00FD7CCB" w:rsidRPr="00FD7CCB" w:rsidRDefault="00FD7CCB" w:rsidP="00FD7CCB">
      <w:pPr>
        <w:pStyle w:val="NormalWeb"/>
        <w:rPr>
          <w:sz w:val="22"/>
          <w:szCs w:val="22"/>
        </w:rPr>
      </w:pPr>
      <w:r w:rsidRPr="00FD7CCB">
        <w:rPr>
          <w:i/>
          <w:iCs/>
          <w:sz w:val="22"/>
          <w:szCs w:val="22"/>
        </w:rPr>
        <w:t>Peaking unit or engine</w:t>
      </w:r>
      <w:r w:rsidRPr="00FD7CCB">
        <w:rPr>
          <w:sz w:val="22"/>
          <w:szCs w:val="22"/>
        </w:rPr>
        <w:t xml:space="preserve"> means any standby engine intended for use during periods of high demand that are not emergencies.</w:t>
      </w:r>
    </w:p>
    <w:p w:rsidR="00FD7CCB" w:rsidRPr="00FD7CCB" w:rsidRDefault="00FD7CCB" w:rsidP="00FD7CCB">
      <w:pPr>
        <w:pStyle w:val="NormalWeb"/>
        <w:rPr>
          <w:sz w:val="22"/>
          <w:szCs w:val="22"/>
        </w:rPr>
      </w:pPr>
      <w:r w:rsidRPr="00FD7CCB">
        <w:rPr>
          <w:i/>
          <w:iCs/>
          <w:sz w:val="22"/>
          <w:szCs w:val="22"/>
        </w:rPr>
        <w:t>Percent load</w:t>
      </w:r>
      <w:r w:rsidRPr="00FD7CCB">
        <w:rPr>
          <w:sz w:val="22"/>
          <w:szCs w:val="22"/>
        </w:rPr>
        <w:t xml:space="preserve"> means the fractional power of an engine compared to its maximum manufacturer's design capacity at engine site conditions. Percent load may range between 0 percent to above 100 percent.</w:t>
      </w:r>
    </w:p>
    <w:p w:rsidR="00FD7CCB" w:rsidRPr="00FD7CCB" w:rsidRDefault="00FD7CCB" w:rsidP="00FD7CCB">
      <w:pPr>
        <w:pStyle w:val="NormalWeb"/>
        <w:rPr>
          <w:sz w:val="22"/>
          <w:szCs w:val="22"/>
        </w:rPr>
      </w:pPr>
      <w:r w:rsidRPr="00FD7CCB">
        <w:rPr>
          <w:i/>
          <w:iCs/>
          <w:sz w:val="22"/>
          <w:szCs w:val="22"/>
        </w:rPr>
        <w:t>Potential to emit</w:t>
      </w:r>
      <w:r w:rsidRPr="00FD7CCB">
        <w:rPr>
          <w:sz w:val="22"/>
          <w:szCs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FD7CCB" w:rsidRPr="00FD7CCB" w:rsidRDefault="00FD7CCB" w:rsidP="00FD7CCB">
      <w:pPr>
        <w:pStyle w:val="NormalWeb"/>
        <w:rPr>
          <w:sz w:val="22"/>
          <w:szCs w:val="22"/>
        </w:rPr>
      </w:pPr>
      <w:r w:rsidRPr="00FD7CCB">
        <w:rPr>
          <w:i/>
          <w:iCs/>
          <w:sz w:val="22"/>
          <w:szCs w:val="22"/>
        </w:rPr>
        <w:lastRenderedPageBreak/>
        <w:t>Production field facility</w:t>
      </w:r>
      <w:r w:rsidRPr="00FD7CCB">
        <w:rPr>
          <w:sz w:val="22"/>
          <w:szCs w:val="22"/>
        </w:rPr>
        <w:t xml:space="preserve"> means those oil and gas production facilities located prior to the point of custody transfer.</w:t>
      </w:r>
    </w:p>
    <w:p w:rsidR="00FD7CCB" w:rsidRPr="00FD7CCB" w:rsidRDefault="00FD7CCB" w:rsidP="00FD7CCB">
      <w:pPr>
        <w:pStyle w:val="NormalWeb"/>
        <w:rPr>
          <w:sz w:val="22"/>
          <w:szCs w:val="22"/>
        </w:rPr>
      </w:pPr>
      <w:r w:rsidRPr="00FD7CCB">
        <w:rPr>
          <w:i/>
          <w:iCs/>
          <w:sz w:val="22"/>
          <w:szCs w:val="22"/>
        </w:rPr>
        <w:t>Production well</w:t>
      </w:r>
      <w:r w:rsidRPr="00FD7CCB">
        <w:rPr>
          <w:sz w:val="22"/>
          <w:szCs w:val="22"/>
        </w:rPr>
        <w:t xml:space="preserve"> means any hole drilled in the earth from which crude oil, condensate, or field natural gas is extracted.</w:t>
      </w:r>
    </w:p>
    <w:p w:rsidR="00FD7CCB" w:rsidRPr="00FD7CCB" w:rsidRDefault="00FD7CCB" w:rsidP="00FD7CCB">
      <w:pPr>
        <w:pStyle w:val="NormalWeb"/>
        <w:rPr>
          <w:sz w:val="22"/>
          <w:szCs w:val="22"/>
        </w:rPr>
      </w:pPr>
      <w:r w:rsidRPr="00FD7CCB">
        <w:rPr>
          <w:i/>
          <w:iCs/>
          <w:sz w:val="22"/>
          <w:szCs w:val="22"/>
        </w:rPr>
        <w:t>Propane</w:t>
      </w:r>
      <w:r w:rsidRPr="00FD7CCB">
        <w:rPr>
          <w:sz w:val="22"/>
          <w:szCs w:val="22"/>
        </w:rPr>
        <w:t xml:space="preserve"> means a colorless gas derived from petroleum and natural gas, with the molecular structure C</w:t>
      </w:r>
      <w:r w:rsidRPr="00FD7CCB">
        <w:rPr>
          <w:sz w:val="22"/>
          <w:szCs w:val="22"/>
          <w:vertAlign w:val="subscript"/>
        </w:rPr>
        <w:t>3</w:t>
      </w:r>
      <w:r w:rsidRPr="00FD7CCB">
        <w:rPr>
          <w:sz w:val="22"/>
          <w:szCs w:val="22"/>
        </w:rPr>
        <w:t>H</w:t>
      </w:r>
      <w:r w:rsidRPr="00FD7CCB">
        <w:rPr>
          <w:sz w:val="22"/>
          <w:szCs w:val="22"/>
          <w:vertAlign w:val="subscript"/>
        </w:rPr>
        <w:t>8</w:t>
      </w:r>
      <w:r w:rsidRPr="00FD7CCB">
        <w:rPr>
          <w:sz w:val="22"/>
          <w:szCs w:val="22"/>
        </w:rPr>
        <w:t>.</w:t>
      </w:r>
    </w:p>
    <w:p w:rsidR="00FD7CCB" w:rsidRPr="00FD7CCB" w:rsidRDefault="00FD7CCB" w:rsidP="00FD7CCB">
      <w:pPr>
        <w:pStyle w:val="NormalWeb"/>
        <w:rPr>
          <w:sz w:val="22"/>
          <w:szCs w:val="22"/>
        </w:rPr>
      </w:pPr>
      <w:r w:rsidRPr="00FD7CCB">
        <w:rPr>
          <w:i/>
          <w:iCs/>
          <w:sz w:val="22"/>
          <w:szCs w:val="22"/>
        </w:rPr>
        <w:t>Remote stationary RICE</w:t>
      </w:r>
      <w:r w:rsidRPr="00FD7CCB">
        <w:rPr>
          <w:sz w:val="22"/>
          <w:szCs w:val="22"/>
        </w:rPr>
        <w:t xml:space="preserve"> means stationary RICE meeting any of the following criteria:</w:t>
      </w:r>
    </w:p>
    <w:p w:rsidR="00FD7CCB" w:rsidRPr="00FD7CCB" w:rsidRDefault="00FD7CCB" w:rsidP="00FD7CCB">
      <w:pPr>
        <w:pStyle w:val="NormalWeb"/>
        <w:rPr>
          <w:sz w:val="22"/>
          <w:szCs w:val="22"/>
        </w:rPr>
      </w:pPr>
      <w:r w:rsidRPr="00FD7CCB">
        <w:rPr>
          <w:sz w:val="22"/>
          <w:szCs w:val="22"/>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FD7CCB" w:rsidRPr="00FD7CCB" w:rsidRDefault="00FD7CCB" w:rsidP="00FD7CCB">
      <w:pPr>
        <w:pStyle w:val="NormalWeb"/>
        <w:rPr>
          <w:sz w:val="22"/>
          <w:szCs w:val="22"/>
        </w:rPr>
      </w:pPr>
      <w:r w:rsidRPr="00FD7CCB">
        <w:rPr>
          <w:sz w:val="22"/>
          <w:szCs w:val="22"/>
        </w:rPr>
        <w:t xml:space="preserve">(2) Stationary RICE located on a pipeline segment that meets </w:t>
      </w:r>
      <w:proofErr w:type="gramStart"/>
      <w:r w:rsidRPr="00FD7CCB">
        <w:rPr>
          <w:sz w:val="22"/>
          <w:szCs w:val="22"/>
        </w:rPr>
        <w:t>both of the</w:t>
      </w:r>
      <w:proofErr w:type="gramEnd"/>
      <w:r w:rsidRPr="00FD7CCB">
        <w:rPr>
          <w:sz w:val="22"/>
          <w:szCs w:val="22"/>
        </w:rPr>
        <w:t xml:space="preserve"> criteria in paragraphs (2)(i) and (ii) of this definition.</w:t>
      </w:r>
    </w:p>
    <w:p w:rsidR="00FD7CCB" w:rsidRPr="00FD7CCB" w:rsidRDefault="00FD7CCB" w:rsidP="00FD7CCB">
      <w:pPr>
        <w:pStyle w:val="NormalWeb"/>
        <w:rPr>
          <w:sz w:val="22"/>
          <w:szCs w:val="22"/>
        </w:rPr>
      </w:pPr>
      <w:r w:rsidRPr="00FD7CCB">
        <w:rPr>
          <w:sz w:val="22"/>
          <w:szCs w:val="22"/>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FD7CCB" w:rsidRPr="00FD7CCB" w:rsidRDefault="00FD7CCB" w:rsidP="00FD7CCB">
      <w:pPr>
        <w:pStyle w:val="NormalWeb"/>
        <w:rPr>
          <w:sz w:val="22"/>
          <w:szCs w:val="22"/>
        </w:rPr>
      </w:pPr>
      <w:r w:rsidRPr="00FD7CCB">
        <w:rPr>
          <w:sz w:val="22"/>
          <w:szCs w:val="22"/>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FD7CCB" w:rsidRPr="00FD7CCB" w:rsidRDefault="00FD7CCB" w:rsidP="00FD7CCB">
      <w:pPr>
        <w:pStyle w:val="NormalWeb"/>
        <w:rPr>
          <w:sz w:val="22"/>
          <w:szCs w:val="22"/>
        </w:rPr>
      </w:pPr>
      <w:r w:rsidRPr="00FD7CCB">
        <w:rPr>
          <w:sz w:val="22"/>
          <w:szCs w:val="22"/>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FD7CCB" w:rsidRPr="00FD7CCB" w:rsidRDefault="00FD7CCB" w:rsidP="00FD7CCB">
      <w:pPr>
        <w:pStyle w:val="NormalWeb"/>
        <w:rPr>
          <w:sz w:val="22"/>
          <w:szCs w:val="22"/>
        </w:rPr>
      </w:pPr>
      <w:r w:rsidRPr="00FD7CCB">
        <w:rPr>
          <w:sz w:val="22"/>
          <w:szCs w:val="22"/>
        </w:rPr>
        <w:t xml:space="preserve">(3) Stationary RICE that are not located on gas pipelines and that have 5 or fewer buildings intended for human occupancy and no buildings with four or more stories within a </w:t>
      </w:r>
      <w:proofErr w:type="gramStart"/>
      <w:r w:rsidRPr="00FD7CCB">
        <w:rPr>
          <w:sz w:val="22"/>
          <w:szCs w:val="22"/>
        </w:rPr>
        <w:t>0.25 mile</w:t>
      </w:r>
      <w:proofErr w:type="gramEnd"/>
      <w:r w:rsidRPr="00FD7CCB">
        <w:rPr>
          <w:sz w:val="22"/>
          <w:szCs w:val="22"/>
        </w:rPr>
        <w:t xml:space="preserve"> radius around the engine. A building is intended for human occupancy if its primary use is for a purpose involving the presence of humans.</w:t>
      </w:r>
    </w:p>
    <w:p w:rsidR="00FD7CCB" w:rsidRPr="00FD7CCB" w:rsidRDefault="00FD7CCB" w:rsidP="00FD7CCB">
      <w:pPr>
        <w:pStyle w:val="NormalWeb"/>
        <w:rPr>
          <w:sz w:val="22"/>
          <w:szCs w:val="22"/>
        </w:rPr>
      </w:pPr>
      <w:r w:rsidRPr="00FD7CCB">
        <w:rPr>
          <w:i/>
          <w:iCs/>
          <w:sz w:val="22"/>
          <w:szCs w:val="22"/>
        </w:rPr>
        <w:t>Residential emergency stationary RICE</w:t>
      </w:r>
      <w:r w:rsidRPr="00FD7CCB">
        <w:rPr>
          <w:sz w:val="22"/>
          <w:szCs w:val="22"/>
        </w:rPr>
        <w:t xml:space="preserve"> means an emergency stationary RICE used in residential establishments such as homes or apartment buildings.</w:t>
      </w:r>
    </w:p>
    <w:p w:rsidR="00FD7CCB" w:rsidRPr="00FD7CCB" w:rsidRDefault="00FD7CCB" w:rsidP="00FD7CCB">
      <w:pPr>
        <w:pStyle w:val="NormalWeb"/>
        <w:rPr>
          <w:sz w:val="22"/>
          <w:szCs w:val="22"/>
        </w:rPr>
      </w:pPr>
      <w:r w:rsidRPr="00FD7CCB">
        <w:rPr>
          <w:i/>
          <w:iCs/>
          <w:sz w:val="22"/>
          <w:szCs w:val="22"/>
        </w:rPr>
        <w:t>Responsible official</w:t>
      </w:r>
      <w:r w:rsidRPr="00FD7CCB">
        <w:rPr>
          <w:sz w:val="22"/>
          <w:szCs w:val="22"/>
        </w:rPr>
        <w:t xml:space="preserve"> means responsible official as defined in 40 CFR 70.2.</w:t>
      </w:r>
    </w:p>
    <w:p w:rsidR="00FD7CCB" w:rsidRPr="00FD7CCB" w:rsidRDefault="00FD7CCB" w:rsidP="00FD7CCB">
      <w:pPr>
        <w:pStyle w:val="NormalWeb"/>
        <w:rPr>
          <w:sz w:val="22"/>
          <w:szCs w:val="22"/>
        </w:rPr>
      </w:pPr>
      <w:r w:rsidRPr="00FD7CCB">
        <w:rPr>
          <w:i/>
          <w:iCs/>
          <w:sz w:val="22"/>
          <w:szCs w:val="22"/>
        </w:rPr>
        <w:t>Rich burn engine</w:t>
      </w:r>
      <w:r w:rsidRPr="00FD7CCB">
        <w:rPr>
          <w:sz w:val="22"/>
          <w:szCs w:val="22"/>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w:t>
      </w:r>
      <w:r w:rsidRPr="00FD7CCB">
        <w:rPr>
          <w:sz w:val="22"/>
          <w:szCs w:val="22"/>
        </w:rPr>
        <w:lastRenderedPageBreak/>
        <w:t>emission control technology for NO</w:t>
      </w:r>
      <w:r w:rsidRPr="00FD7CCB">
        <w:rPr>
          <w:sz w:val="22"/>
          <w:szCs w:val="22"/>
          <w:vertAlign w:val="subscript"/>
        </w:rPr>
        <w:t>X</w:t>
      </w:r>
      <w:r w:rsidRPr="00FD7CCB">
        <w:rPr>
          <w:sz w:val="22"/>
          <w:szCs w:val="22"/>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FD7CCB" w:rsidRPr="00FD7CCB" w:rsidRDefault="00FD7CCB" w:rsidP="00FD7CCB">
      <w:pPr>
        <w:pStyle w:val="NormalWeb"/>
        <w:rPr>
          <w:sz w:val="22"/>
          <w:szCs w:val="22"/>
        </w:rPr>
      </w:pPr>
      <w:r w:rsidRPr="00FD7CCB">
        <w:rPr>
          <w:i/>
          <w:iCs/>
          <w:sz w:val="22"/>
          <w:szCs w:val="22"/>
        </w:rPr>
        <w:t>Site-rated HP</w:t>
      </w:r>
      <w:r w:rsidRPr="00FD7CCB">
        <w:rPr>
          <w:sz w:val="22"/>
          <w:szCs w:val="22"/>
        </w:rPr>
        <w:t xml:space="preserve"> means the maximum manufacturer's design capacity at engine site conditions.</w:t>
      </w:r>
    </w:p>
    <w:p w:rsidR="00FD7CCB" w:rsidRPr="00FD7CCB" w:rsidRDefault="00FD7CCB" w:rsidP="00FD7CCB">
      <w:pPr>
        <w:pStyle w:val="NormalWeb"/>
        <w:rPr>
          <w:sz w:val="22"/>
          <w:szCs w:val="22"/>
        </w:rPr>
      </w:pPr>
      <w:r w:rsidRPr="00FD7CCB">
        <w:rPr>
          <w:i/>
          <w:iCs/>
          <w:sz w:val="22"/>
          <w:szCs w:val="22"/>
        </w:rPr>
        <w:t>Spark ignition</w:t>
      </w:r>
      <w:r w:rsidRPr="00FD7CCB">
        <w:rPr>
          <w:sz w:val="22"/>
          <w:szCs w:val="22"/>
        </w:rPr>
        <w:t xml:space="preserve"> means relating to either: A gasoline-fueled engine; or any other type of engine with a spark plug (or other sparking device) and with operating characteristics significantly </w:t>
      </w:r>
      <w:proofErr w:type="gramStart"/>
      <w:r w:rsidRPr="00FD7CCB">
        <w:rPr>
          <w:sz w:val="22"/>
          <w:szCs w:val="22"/>
        </w:rPr>
        <w:t>similar to</w:t>
      </w:r>
      <w:proofErr w:type="gramEnd"/>
      <w:r w:rsidRPr="00FD7CCB">
        <w:rPr>
          <w:sz w:val="22"/>
          <w:szCs w:val="22"/>
        </w:rPr>
        <w:t xml:space="preserve">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FD7CCB" w:rsidRPr="00FD7CCB" w:rsidRDefault="00FD7CCB" w:rsidP="00FD7CCB">
      <w:pPr>
        <w:pStyle w:val="NormalWeb"/>
        <w:rPr>
          <w:sz w:val="22"/>
          <w:szCs w:val="22"/>
        </w:rPr>
      </w:pPr>
      <w:r w:rsidRPr="00FD7CCB">
        <w:rPr>
          <w:i/>
          <w:iCs/>
          <w:sz w:val="22"/>
          <w:szCs w:val="22"/>
        </w:rPr>
        <w:t>Stationary reciprocating internal combustion engine (RICE)</w:t>
      </w:r>
      <w:r w:rsidRPr="00FD7CCB">
        <w:rPr>
          <w:sz w:val="22"/>
          <w:szCs w:val="22"/>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FD7CCB" w:rsidRPr="00FD7CCB" w:rsidRDefault="00FD7CCB" w:rsidP="00FD7CCB">
      <w:pPr>
        <w:pStyle w:val="NormalWeb"/>
        <w:rPr>
          <w:sz w:val="22"/>
          <w:szCs w:val="22"/>
        </w:rPr>
      </w:pPr>
      <w:r w:rsidRPr="00FD7CCB">
        <w:rPr>
          <w:i/>
          <w:iCs/>
          <w:sz w:val="22"/>
          <w:szCs w:val="22"/>
        </w:rPr>
        <w:t>Stationary RICE test cell/stand</w:t>
      </w:r>
      <w:r w:rsidRPr="00FD7CCB">
        <w:rPr>
          <w:sz w:val="22"/>
          <w:szCs w:val="22"/>
        </w:rPr>
        <w:t xml:space="preserve"> means an engine test cell/stand, as defined in subpart PPPPP of this part, that tests stationary RICE.</w:t>
      </w:r>
    </w:p>
    <w:p w:rsidR="00FD7CCB" w:rsidRPr="00FD7CCB" w:rsidRDefault="00FD7CCB" w:rsidP="00FD7CCB">
      <w:pPr>
        <w:pStyle w:val="NormalWeb"/>
        <w:rPr>
          <w:sz w:val="22"/>
          <w:szCs w:val="22"/>
        </w:rPr>
      </w:pPr>
      <w:r w:rsidRPr="00FD7CCB">
        <w:rPr>
          <w:i/>
          <w:iCs/>
          <w:sz w:val="22"/>
          <w:szCs w:val="22"/>
        </w:rPr>
        <w:t>Stoichiometric</w:t>
      </w:r>
      <w:r w:rsidRPr="00FD7CCB">
        <w:rPr>
          <w:sz w:val="22"/>
          <w:szCs w:val="22"/>
        </w:rPr>
        <w:t xml:space="preserve"> means the theoretical air-to-fuel ratio required for complete combustion.</w:t>
      </w:r>
    </w:p>
    <w:p w:rsidR="00FD7CCB" w:rsidRPr="00FD7CCB" w:rsidRDefault="00FD7CCB" w:rsidP="00FD7CCB">
      <w:pPr>
        <w:pStyle w:val="NormalWeb"/>
        <w:rPr>
          <w:sz w:val="22"/>
          <w:szCs w:val="22"/>
        </w:rPr>
      </w:pPr>
      <w:r w:rsidRPr="00FD7CCB">
        <w:rPr>
          <w:i/>
          <w:iCs/>
          <w:sz w:val="22"/>
          <w:szCs w:val="22"/>
        </w:rPr>
        <w:t>Storage vessel with the potential for flash emissions</w:t>
      </w:r>
      <w:r w:rsidRPr="00FD7CCB">
        <w:rPr>
          <w:sz w:val="22"/>
          <w:szCs w:val="22"/>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FD7CCB" w:rsidRPr="00FD7CCB" w:rsidRDefault="00FD7CCB" w:rsidP="00FD7CCB">
      <w:pPr>
        <w:pStyle w:val="NormalWeb"/>
        <w:rPr>
          <w:sz w:val="22"/>
          <w:szCs w:val="22"/>
        </w:rPr>
      </w:pPr>
      <w:r w:rsidRPr="00FD7CCB">
        <w:rPr>
          <w:i/>
          <w:iCs/>
          <w:sz w:val="22"/>
          <w:szCs w:val="22"/>
        </w:rPr>
        <w:t>Subpart</w:t>
      </w:r>
      <w:r w:rsidRPr="00FD7CCB">
        <w:rPr>
          <w:sz w:val="22"/>
          <w:szCs w:val="22"/>
        </w:rPr>
        <w:t xml:space="preserve"> means 40 CFR part 63, subpart ZZZZ.</w:t>
      </w:r>
    </w:p>
    <w:p w:rsidR="00FD7CCB" w:rsidRPr="00FD7CCB" w:rsidRDefault="00FD7CCB" w:rsidP="00FD7CCB">
      <w:pPr>
        <w:pStyle w:val="NormalWeb"/>
        <w:rPr>
          <w:sz w:val="22"/>
          <w:szCs w:val="22"/>
        </w:rPr>
      </w:pPr>
      <w:r w:rsidRPr="00FD7CCB">
        <w:rPr>
          <w:i/>
          <w:iCs/>
          <w:sz w:val="22"/>
          <w:szCs w:val="22"/>
        </w:rPr>
        <w:t>Surface site</w:t>
      </w:r>
      <w:r w:rsidRPr="00FD7CCB">
        <w:rPr>
          <w:sz w:val="22"/>
          <w:szCs w:val="22"/>
        </w:rPr>
        <w:t xml:space="preserve"> means any combination of one or more graded pad sites, gravel pad sites, foundations, platforms, or the immediate physical location upon which equipment is physically affixed.</w:t>
      </w:r>
    </w:p>
    <w:p w:rsidR="00FD7CCB" w:rsidRPr="00FD7CCB" w:rsidRDefault="00FD7CCB" w:rsidP="00FD7CCB">
      <w:pPr>
        <w:pStyle w:val="NormalWeb"/>
        <w:rPr>
          <w:sz w:val="22"/>
          <w:szCs w:val="22"/>
        </w:rPr>
      </w:pPr>
      <w:r w:rsidRPr="00FD7CCB">
        <w:rPr>
          <w:i/>
          <w:iCs/>
          <w:sz w:val="22"/>
          <w:szCs w:val="22"/>
        </w:rPr>
        <w:t>Two-stroke engine</w:t>
      </w:r>
      <w:r w:rsidRPr="00FD7CCB">
        <w:rPr>
          <w:sz w:val="22"/>
          <w:szCs w:val="22"/>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FD7CCB" w:rsidRPr="00FD7CCB" w:rsidRDefault="00FD7CCB" w:rsidP="00FD7CCB">
      <w:pPr>
        <w:pStyle w:val="cita"/>
        <w:rPr>
          <w:sz w:val="22"/>
          <w:szCs w:val="22"/>
        </w:rPr>
      </w:pPr>
      <w:r w:rsidRPr="00FD7CCB">
        <w:rPr>
          <w:sz w:val="22"/>
          <w:szCs w:val="22"/>
        </w:rPr>
        <w:t>[69 FR 33506, June 15, 2004, as amended at 71 FR 20467, Apr. 20, 2006; 73 FR 3607, Jan. 18, 2008; 75 FR 9679, Mar. 3, 2010; 75 FR 51592, Aug. 20, 2010; 76 FR 12867, Mar. 9, 2011; 78 FR 6706, Jan. 30, 2013]</w:t>
      </w:r>
    </w:p>
    <w:p w:rsidR="00FD7CCB" w:rsidRPr="00FD7CCB" w:rsidRDefault="00FD7CCB" w:rsidP="00FD7CCB">
      <w:pPr>
        <w:pStyle w:val="Heading2"/>
        <w:rPr>
          <w:rFonts w:ascii="Times New Roman" w:hAnsi="Times New Roman" w:cs="Times New Roman"/>
          <w:sz w:val="22"/>
          <w:szCs w:val="22"/>
        </w:rPr>
      </w:pPr>
      <w:bookmarkStart w:id="86" w:name="ap40.15.63_16675.1"/>
      <w:bookmarkEnd w:id="86"/>
      <w:r w:rsidRPr="00FD7CCB">
        <w:rPr>
          <w:rFonts w:ascii="Times New Roman" w:hAnsi="Times New Roman" w:cs="Times New Roman"/>
          <w:sz w:val="22"/>
          <w:szCs w:val="22"/>
        </w:rPr>
        <w:t>Table 1</w:t>
      </w:r>
      <w:r w:rsidRPr="00FD7CCB">
        <w:rPr>
          <w:rFonts w:ascii="Times New Roman" w:hAnsi="Times New Roman" w:cs="Times New Roman"/>
          <w:b/>
          <w:bCs/>
          <w:sz w:val="22"/>
          <w:szCs w:val="22"/>
        </w:rPr>
        <w:t>a</w:t>
      </w:r>
      <w:r w:rsidRPr="00FD7CCB">
        <w:rPr>
          <w:rFonts w:ascii="Times New Roman" w:hAnsi="Times New Roman" w:cs="Times New Roman"/>
          <w:sz w:val="22"/>
          <w:szCs w:val="22"/>
        </w:rPr>
        <w:t xml:space="preserve"> to Subpart ZZZZ of Part 63—Emission Limitations for Existing, New, and Reconstructed Spark Ignition, 4SRB Stationary RICE &gt;500 HP Located at a Major Source of HAP Emissions</w:t>
      </w:r>
    </w:p>
    <w:p w:rsidR="00FD7CCB" w:rsidRPr="00FD7CCB" w:rsidRDefault="00FD7CCB" w:rsidP="00FD7CCB">
      <w:pPr>
        <w:pStyle w:val="NormalWeb"/>
        <w:rPr>
          <w:sz w:val="22"/>
          <w:szCs w:val="22"/>
        </w:rPr>
      </w:pPr>
      <w:r w:rsidRPr="00FD7CCB">
        <w:rPr>
          <w:sz w:val="22"/>
          <w:szCs w:val="22"/>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121"/>
        <w:gridCol w:w="4612"/>
        <w:gridCol w:w="4377"/>
      </w:tblGrid>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lastRenderedPageBreak/>
              <w:t xml:space="preserve">For </w:t>
            </w:r>
            <w:proofErr w:type="gramStart"/>
            <w:r w:rsidRPr="00FD7CCB">
              <w:rPr>
                <w:b/>
                <w:bCs/>
                <w:szCs w:val="22"/>
              </w:rPr>
              <w:t>each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You must meet the following emission limitation, except during periods of </w:t>
            </w:r>
            <w:proofErr w:type="gramStart"/>
            <w:r w:rsidRPr="00FD7CCB">
              <w:rPr>
                <w:b/>
                <w:bCs/>
                <w:szCs w:val="22"/>
              </w:rPr>
              <w:t>startup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During periods of startup you </w:t>
            </w:r>
            <w:proofErr w:type="gramStart"/>
            <w:r w:rsidRPr="00FD7CCB">
              <w:rPr>
                <w:b/>
                <w:bCs/>
                <w:szCs w:val="22"/>
              </w:rPr>
              <w:t>must .</w:t>
            </w:r>
            <w:proofErr w:type="gramEnd"/>
            <w:r w:rsidRPr="00FD7CCB">
              <w:rPr>
                <w:b/>
                <w:bCs/>
                <w:szCs w:val="22"/>
              </w:rPr>
              <w:t>  .  .</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FD7CCB">
              <w:rPr>
                <w:szCs w:val="22"/>
                <w:vertAlign w:val="superscript"/>
              </w:rPr>
              <w:t>1</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Limit the concentration of formaldehyde in the stationary RICE exhaust to 350 ppbvd or less at 15 percent O</w:t>
            </w:r>
            <w:r w:rsidRPr="00FD7CCB">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bl>
    <w:p w:rsidR="00FD7CCB" w:rsidRPr="00FD7CCB" w:rsidRDefault="00FD7CCB" w:rsidP="00FD7CCB">
      <w:pPr>
        <w:pStyle w:val="gpotblnote"/>
        <w:rPr>
          <w:sz w:val="22"/>
          <w:szCs w:val="22"/>
        </w:rPr>
      </w:pPr>
      <w:r w:rsidRPr="00FD7CCB">
        <w:rPr>
          <w:sz w:val="22"/>
          <w:szCs w:val="22"/>
          <w:vertAlign w:val="superscript"/>
        </w:rPr>
        <w:t>1</w:t>
      </w:r>
      <w:r w:rsidRPr="00FD7CCB">
        <w:rPr>
          <w:sz w:val="22"/>
          <w:szCs w:val="22"/>
        </w:rPr>
        <w:t xml:space="preserve"> Sources can petition the Administrator pursuant to the requirements of 40 CFR 63.6(g) for alternative work practices.</w:t>
      </w:r>
    </w:p>
    <w:p w:rsidR="00FD7CCB" w:rsidRPr="00FD7CCB" w:rsidRDefault="00FD7CCB" w:rsidP="00FD7CCB">
      <w:pPr>
        <w:pStyle w:val="cita"/>
        <w:rPr>
          <w:sz w:val="22"/>
          <w:szCs w:val="22"/>
        </w:rPr>
      </w:pPr>
      <w:r w:rsidRPr="00FD7CCB">
        <w:rPr>
          <w:sz w:val="22"/>
          <w:szCs w:val="22"/>
        </w:rPr>
        <w:t>[75 FR 9679, Mar. 3, 2010, as amended at 75 FR 51592, Aug. 20, 2010]</w:t>
      </w:r>
    </w:p>
    <w:p w:rsidR="00FD7CCB" w:rsidRPr="00FD7CCB" w:rsidRDefault="00FD7CCB" w:rsidP="00FD7CCB">
      <w:pPr>
        <w:pStyle w:val="Heading2"/>
        <w:rPr>
          <w:rFonts w:ascii="Times New Roman" w:hAnsi="Times New Roman" w:cs="Times New Roman"/>
          <w:sz w:val="22"/>
          <w:szCs w:val="22"/>
        </w:rPr>
      </w:pPr>
      <w:bookmarkStart w:id="87" w:name="ap40.15.63_16675.2"/>
      <w:bookmarkEnd w:id="87"/>
      <w:r w:rsidRPr="00FD7CCB">
        <w:rPr>
          <w:rFonts w:ascii="Times New Roman" w:hAnsi="Times New Roman" w:cs="Times New Roman"/>
          <w:sz w:val="22"/>
          <w:szCs w:val="22"/>
        </w:rPr>
        <w:t>Table 1</w:t>
      </w:r>
      <w:r w:rsidRPr="00FD7CCB">
        <w:rPr>
          <w:rFonts w:ascii="Times New Roman" w:hAnsi="Times New Roman" w:cs="Times New Roman"/>
          <w:b/>
          <w:bCs/>
          <w:sz w:val="22"/>
          <w:szCs w:val="22"/>
        </w:rPr>
        <w:t>b</w:t>
      </w:r>
      <w:r w:rsidRPr="00FD7CCB">
        <w:rPr>
          <w:rFonts w:ascii="Times New Roman" w:hAnsi="Times New Roman" w:cs="Times New Roman"/>
          <w:sz w:val="22"/>
          <w:szCs w:val="22"/>
        </w:rPr>
        <w:t xml:space="preserve"> to Subpart ZZZZ of Part 63—Operating Limitations for Existing, New, and Reconstructed SI 4SRB Stationary RICE &gt;500 HP Located at a Major Source of HAP Emissions</w:t>
      </w:r>
    </w:p>
    <w:p w:rsidR="00FD7CCB" w:rsidRPr="00FD7CCB" w:rsidRDefault="00FD7CCB" w:rsidP="00FD7CCB">
      <w:pPr>
        <w:pStyle w:val="NormalWeb"/>
        <w:rPr>
          <w:sz w:val="22"/>
          <w:szCs w:val="22"/>
        </w:rPr>
      </w:pPr>
      <w:r w:rsidRPr="00FD7CCB">
        <w:rPr>
          <w:sz w:val="22"/>
          <w:szCs w:val="22"/>
        </w:rPr>
        <w:t>As stated in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92"/>
        <w:gridCol w:w="4918"/>
      </w:tblGrid>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For </w:t>
            </w:r>
            <w:proofErr w:type="gramStart"/>
            <w:r w:rsidRPr="00FD7CCB">
              <w:rPr>
                <w:b/>
                <w:bCs/>
                <w:szCs w:val="22"/>
              </w:rPr>
              <w:t>each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You must meet the following operating limitation, except during periods of </w:t>
            </w:r>
            <w:proofErr w:type="gramStart"/>
            <w:r w:rsidRPr="00FD7CCB">
              <w:rPr>
                <w:b/>
                <w:bCs/>
                <w:szCs w:val="22"/>
              </w:rPr>
              <w:t>startup .</w:t>
            </w:r>
            <w:proofErr w:type="gramEnd"/>
            <w:r w:rsidRPr="00FD7CCB">
              <w:rPr>
                <w:b/>
                <w:bCs/>
                <w:szCs w:val="22"/>
              </w:rPr>
              <w:t>  .  .</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existing, new and reconstructed 4SRB stationary RICE &gt;500 HP located at a major source of HAP emissions complying with the requirement to reduce formaldehyde emissions by 76 percent or more (or by 75 percent or more, if applicable) and using NSCR; or</w:t>
            </w:r>
            <w:r w:rsidRPr="00FD7CCB">
              <w:rPr>
                <w:szCs w:val="22"/>
              </w:rPr>
              <w:br/>
              <w:t>existing, new and reconstructed 4SRB stationary RICE &gt;500 HP located at a major source of HAP emissions complying with the requirement to limit the concentration of formaldehyde in the stationary RICE exhaust to 350 ppbvd or less at 15 percent O</w:t>
            </w:r>
            <w:r w:rsidRPr="00FD7CCB">
              <w:rPr>
                <w:szCs w:val="22"/>
                <w:vertAlign w:val="subscript"/>
              </w:rPr>
              <w:t>2</w:t>
            </w:r>
            <w:r w:rsidRPr="00FD7CCB">
              <w:rPr>
                <w:szCs w:val="22"/>
              </w:rPr>
              <w:t xml:space="preserve">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a. </w:t>
            </w:r>
            <w:proofErr w:type="gramStart"/>
            <w:r w:rsidRPr="00FD7CCB">
              <w:rPr>
                <w:szCs w:val="22"/>
              </w:rPr>
              <w:t>maintain</w:t>
            </w:r>
            <w:proofErr w:type="gramEnd"/>
            <w:r w:rsidRPr="00FD7CCB">
              <w:rPr>
                <w:szCs w:val="22"/>
              </w:rPr>
              <w:t xml:space="preserve"> your catalyst so that the pressure drop across the catalyst does not change by more than 2 inches of water at 100 percent load plus or minus 10 percent from the pressure drop across the catalyst measured during the initial performance test; and</w:t>
            </w:r>
            <w:r w:rsidRPr="00FD7CCB">
              <w:rPr>
                <w:szCs w:val="22"/>
              </w:rPr>
              <w:br/>
              <w:t>b. maintain the temperature of your stationary RICE exhaust so that the catalyst inlet temperature is greater than or equal to 750 °F and less than or equal to 1250 °F.</w:t>
            </w:r>
            <w:r w:rsidRPr="00FD7CCB">
              <w:rPr>
                <w:szCs w:val="22"/>
                <w:vertAlign w:val="superscript"/>
              </w:rPr>
              <w:t>1</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Comply with any operating limitations approved by the Administrator.</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existing, new and reconstructed 4SRB stationary RICE &gt;500 HP located at a major source of HAP emissions complying with the requirement to limit the concentration </w:t>
            </w:r>
            <w:r w:rsidRPr="00FD7CCB">
              <w:rPr>
                <w:szCs w:val="22"/>
              </w:rPr>
              <w:lastRenderedPageBreak/>
              <w:t>of formaldehyde in the stationary RICE exhaust to 350 ppbvd or less at 15 percent O</w:t>
            </w:r>
            <w:r w:rsidRPr="00FD7CCB">
              <w:rPr>
                <w:szCs w:val="22"/>
                <w:vertAlign w:val="subscript"/>
              </w:rPr>
              <w:t>2</w:t>
            </w:r>
            <w:r w:rsidRPr="00FD7CCB">
              <w:rPr>
                <w:szCs w:val="22"/>
              </w:rPr>
              <w:t xml:space="preserve">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bl>
    <w:p w:rsidR="00FD7CCB" w:rsidRPr="00FD7CCB" w:rsidRDefault="00FD7CCB" w:rsidP="00FD7CCB">
      <w:pPr>
        <w:pStyle w:val="gpotblnote"/>
        <w:rPr>
          <w:sz w:val="22"/>
          <w:szCs w:val="22"/>
        </w:rPr>
      </w:pPr>
      <w:r w:rsidRPr="00FD7CCB">
        <w:rPr>
          <w:sz w:val="22"/>
          <w:szCs w:val="22"/>
          <w:vertAlign w:val="superscript"/>
        </w:rPr>
        <w:t>1</w:t>
      </w:r>
      <w:r w:rsidRPr="00FD7CCB">
        <w:rPr>
          <w:sz w:val="22"/>
          <w:szCs w:val="22"/>
        </w:rPr>
        <w:t>Sources can petition the Administrator pursuant to the requirements of 40 CFR 63.8(f) for a different temperature range.</w:t>
      </w:r>
    </w:p>
    <w:p w:rsidR="00FD7CCB" w:rsidRPr="00FD7CCB" w:rsidRDefault="00FD7CCB" w:rsidP="00FD7CCB">
      <w:pPr>
        <w:pStyle w:val="cita"/>
        <w:rPr>
          <w:sz w:val="22"/>
          <w:szCs w:val="22"/>
        </w:rPr>
      </w:pPr>
      <w:r w:rsidRPr="00FD7CCB">
        <w:rPr>
          <w:sz w:val="22"/>
          <w:szCs w:val="22"/>
        </w:rPr>
        <w:t>[78 FR 6706, Jan. 30, 2013]</w:t>
      </w:r>
    </w:p>
    <w:p w:rsidR="00FD7CCB" w:rsidRPr="00FD7CCB" w:rsidRDefault="00FD7CCB" w:rsidP="00FD7CCB">
      <w:pPr>
        <w:pStyle w:val="Heading2"/>
        <w:rPr>
          <w:rFonts w:ascii="Times New Roman" w:hAnsi="Times New Roman" w:cs="Times New Roman"/>
          <w:sz w:val="22"/>
          <w:szCs w:val="22"/>
        </w:rPr>
      </w:pPr>
      <w:bookmarkStart w:id="88" w:name="ap40.15.63_16675.3"/>
      <w:bookmarkEnd w:id="88"/>
      <w:r w:rsidRPr="00FD7CCB">
        <w:rPr>
          <w:rFonts w:ascii="Times New Roman" w:hAnsi="Times New Roman" w:cs="Times New Roman"/>
          <w:sz w:val="22"/>
          <w:szCs w:val="22"/>
        </w:rPr>
        <w:t>Table 2</w:t>
      </w:r>
      <w:r w:rsidRPr="00FD7CCB">
        <w:rPr>
          <w:rFonts w:ascii="Times New Roman" w:hAnsi="Times New Roman" w:cs="Times New Roman"/>
          <w:b/>
          <w:bCs/>
          <w:sz w:val="22"/>
          <w:szCs w:val="22"/>
        </w:rPr>
        <w:t>a</w:t>
      </w:r>
      <w:r w:rsidRPr="00FD7CCB">
        <w:rPr>
          <w:rFonts w:ascii="Times New Roman" w:hAnsi="Times New Roman" w:cs="Times New Roman"/>
          <w:sz w:val="22"/>
          <w:szCs w:val="22"/>
        </w:rPr>
        <w:t xml:space="preserve"> to Subpart ZZZZ of Part 63—Emission Limitations for New and Reconstructed 2SLB and Compression Ignition Stationary RICE &gt;500 HP and New and Reconstructed 4SLB Stationary RICE ≥250 HP Located at a Major Source of HAP Emissions</w:t>
      </w:r>
    </w:p>
    <w:p w:rsidR="00FD7CCB" w:rsidRPr="00FD7CCB" w:rsidRDefault="00FD7CCB" w:rsidP="00FD7CCB">
      <w:pPr>
        <w:pStyle w:val="NormalWeb"/>
        <w:rPr>
          <w:sz w:val="22"/>
          <w:szCs w:val="22"/>
        </w:rPr>
      </w:pPr>
      <w:r w:rsidRPr="00FD7CCB">
        <w:rPr>
          <w:sz w:val="22"/>
          <w:szCs w:val="22"/>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92"/>
        <w:gridCol w:w="5051"/>
        <w:gridCol w:w="3967"/>
      </w:tblGrid>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For </w:t>
            </w:r>
            <w:proofErr w:type="gramStart"/>
            <w:r w:rsidRPr="00FD7CCB">
              <w:rPr>
                <w:b/>
                <w:bCs/>
                <w:szCs w:val="22"/>
              </w:rPr>
              <w:t>each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You must meet the following emission limitation, except during periods of </w:t>
            </w:r>
            <w:proofErr w:type="gramStart"/>
            <w:r w:rsidRPr="00FD7CCB">
              <w:rPr>
                <w:b/>
                <w:bCs/>
                <w:szCs w:val="22"/>
              </w:rPr>
              <w:t>startup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During periods of startup you </w:t>
            </w:r>
            <w:proofErr w:type="gramStart"/>
            <w:r w:rsidRPr="00FD7CCB">
              <w:rPr>
                <w:b/>
                <w:bCs/>
                <w:szCs w:val="22"/>
              </w:rPr>
              <w:t>must .</w:t>
            </w:r>
            <w:proofErr w:type="gramEnd"/>
            <w:r w:rsidRPr="00FD7CCB">
              <w:rPr>
                <w:b/>
                <w:bCs/>
                <w:szCs w:val="22"/>
              </w:rPr>
              <w:t>  .  .</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 by 58 percent or more; or</w:t>
            </w:r>
            <w:r w:rsidRPr="00FD7CCB">
              <w:rPr>
                <w:szCs w:val="22"/>
              </w:rPr>
              <w:br/>
              <w:t>b. Limit concentration of formaldehyde in the stationary RICE exhaust to 12 ppmvd or less at 15 percent O</w:t>
            </w:r>
            <w:r w:rsidRPr="00FD7CCB">
              <w:rPr>
                <w:szCs w:val="22"/>
                <w:vertAlign w:val="subscript"/>
              </w:rPr>
              <w:t>2</w:t>
            </w:r>
            <w:r w:rsidRPr="00FD7CCB">
              <w:rPr>
                <w:szCs w:val="22"/>
              </w:rPr>
              <w:t>. If you commenced construction or reconstruction between December 19, 2002 and June 15, 2004, you may limit concentration of formaldehyde to 17 ppmvd or less at 15 percent O</w:t>
            </w:r>
            <w:r w:rsidRPr="00FD7CCB">
              <w:rPr>
                <w:szCs w:val="22"/>
                <w:vertAlign w:val="subscript"/>
              </w:rPr>
              <w:t>2</w:t>
            </w:r>
            <w:r w:rsidRPr="00FD7CCB">
              <w:rPr>
                <w:szCs w:val="22"/>
              </w:rPr>
              <w:t xml:space="preserve"> 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FD7CCB">
              <w:rPr>
                <w:szCs w:val="22"/>
                <w:vertAlign w:val="superscript"/>
              </w:rPr>
              <w:t>1</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Limit concentration of formaldehyde in the stationary RICE exhaust to 14 ppmvd or less at 15 percent O</w:t>
            </w:r>
            <w:r w:rsidRPr="00FD7CCB">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Limit concentration of formaldehyde in the stationary RICE exhaust to 580 ppbvd or less at 15 percent O</w:t>
            </w:r>
            <w:r w:rsidRPr="00FD7CCB">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bl>
    <w:p w:rsidR="00FD7CCB" w:rsidRPr="00FD7CCB" w:rsidRDefault="00FD7CCB" w:rsidP="00FD7CCB">
      <w:pPr>
        <w:pStyle w:val="gpotblnote"/>
        <w:rPr>
          <w:sz w:val="22"/>
          <w:szCs w:val="22"/>
        </w:rPr>
      </w:pPr>
      <w:r w:rsidRPr="00FD7CCB">
        <w:rPr>
          <w:sz w:val="22"/>
          <w:szCs w:val="22"/>
          <w:vertAlign w:val="superscript"/>
        </w:rPr>
        <w:t>1</w:t>
      </w:r>
      <w:r w:rsidRPr="00FD7CCB">
        <w:rPr>
          <w:sz w:val="22"/>
          <w:szCs w:val="22"/>
        </w:rPr>
        <w:t>Sources can petition the Administrator pursuant to the requirements of 40 CFR 63.6(g) for alternative work practices.</w:t>
      </w:r>
    </w:p>
    <w:p w:rsidR="00FD7CCB" w:rsidRPr="00FD7CCB" w:rsidRDefault="00FD7CCB" w:rsidP="00FD7CCB">
      <w:pPr>
        <w:pStyle w:val="cita"/>
        <w:rPr>
          <w:sz w:val="22"/>
          <w:szCs w:val="22"/>
        </w:rPr>
      </w:pPr>
      <w:r w:rsidRPr="00FD7CCB">
        <w:rPr>
          <w:sz w:val="22"/>
          <w:szCs w:val="22"/>
        </w:rPr>
        <w:t>[75 FR 9680, Mar. 3, 2010]</w:t>
      </w:r>
    </w:p>
    <w:p w:rsidR="00FD7CCB" w:rsidRPr="00FD7CCB" w:rsidRDefault="00FD7CCB" w:rsidP="00FD7CCB">
      <w:pPr>
        <w:pStyle w:val="Heading2"/>
        <w:rPr>
          <w:rFonts w:ascii="Times New Roman" w:hAnsi="Times New Roman" w:cs="Times New Roman"/>
          <w:sz w:val="22"/>
          <w:szCs w:val="22"/>
        </w:rPr>
      </w:pPr>
      <w:bookmarkStart w:id="89" w:name="ap40.15.63_16675.4"/>
      <w:bookmarkEnd w:id="89"/>
      <w:r w:rsidRPr="00FD7CCB">
        <w:rPr>
          <w:rFonts w:ascii="Times New Roman" w:hAnsi="Times New Roman" w:cs="Times New Roman"/>
          <w:sz w:val="22"/>
          <w:szCs w:val="22"/>
        </w:rPr>
        <w:lastRenderedPageBreak/>
        <w:t>Table 2</w:t>
      </w:r>
      <w:r w:rsidRPr="00FD7CCB">
        <w:rPr>
          <w:rFonts w:ascii="Times New Roman" w:hAnsi="Times New Roman" w:cs="Times New Roman"/>
          <w:b/>
          <w:bCs/>
          <w:sz w:val="22"/>
          <w:szCs w:val="22"/>
        </w:rPr>
        <w:t>b</w:t>
      </w:r>
      <w:r w:rsidRPr="00FD7CCB">
        <w:rPr>
          <w:rFonts w:ascii="Times New Roman" w:hAnsi="Times New Roman" w:cs="Times New Roman"/>
          <w:sz w:val="22"/>
          <w:szCs w:val="22"/>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rsidR="00FD7CCB" w:rsidRPr="00FD7CCB" w:rsidRDefault="00FD7CCB" w:rsidP="00FD7CCB">
      <w:pPr>
        <w:pStyle w:val="NormalWeb"/>
        <w:rPr>
          <w:sz w:val="22"/>
          <w:szCs w:val="22"/>
        </w:rPr>
      </w:pPr>
      <w:r w:rsidRPr="00FD7CCB">
        <w:rPr>
          <w:sz w:val="22"/>
          <w:szCs w:val="22"/>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42"/>
        <w:gridCol w:w="4468"/>
      </w:tblGrid>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For </w:t>
            </w:r>
            <w:proofErr w:type="gramStart"/>
            <w:r w:rsidRPr="00FD7CCB">
              <w:rPr>
                <w:b/>
                <w:bCs/>
                <w:szCs w:val="22"/>
              </w:rPr>
              <w:t>each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You must meet the following operating limitation, except during periods of </w:t>
            </w:r>
            <w:proofErr w:type="gramStart"/>
            <w:r w:rsidRPr="00FD7CCB">
              <w:rPr>
                <w:b/>
                <w:bCs/>
                <w:szCs w:val="22"/>
              </w:rPr>
              <w:t>startup .</w:t>
            </w:r>
            <w:proofErr w:type="gramEnd"/>
            <w:r w:rsidRPr="00FD7CCB">
              <w:rPr>
                <w:b/>
                <w:bCs/>
                <w:szCs w:val="22"/>
              </w:rPr>
              <w:t>  .  .</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FD7CCB">
              <w:rPr>
                <w:szCs w:val="22"/>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a. </w:t>
            </w:r>
            <w:proofErr w:type="gramStart"/>
            <w:r w:rsidRPr="00FD7CCB">
              <w:rPr>
                <w:szCs w:val="22"/>
              </w:rPr>
              <w:t>maintain</w:t>
            </w:r>
            <w:proofErr w:type="gramEnd"/>
            <w:r w:rsidRPr="00FD7CCB">
              <w:rPr>
                <w:szCs w:val="22"/>
              </w:rPr>
              <w:t xml:space="preserve"> your catalyst so that the pressure drop across the catalyst does not change by more than 2 inches of water at 100 percent load plus or minus 10 percent from the pressure drop across the catalyst that was measured during the initial performance test; and</w:t>
            </w:r>
            <w:r w:rsidRPr="00FD7CCB">
              <w:rPr>
                <w:szCs w:val="22"/>
              </w:rPr>
              <w:br/>
              <w:t>b. maintain the temperature of your stationary RICE exhaust so that the catalyst inlet temperature is greater than or equal to 450 °F and less than or equal to 1350 °F.</w:t>
            </w:r>
            <w:r w:rsidRPr="00FD7CCB">
              <w:rPr>
                <w:szCs w:val="22"/>
                <w:vertAlign w:val="superscript"/>
              </w:rPr>
              <w:t>1</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a. </w:t>
            </w:r>
            <w:proofErr w:type="gramStart"/>
            <w:r w:rsidRPr="00FD7CCB">
              <w:rPr>
                <w:szCs w:val="22"/>
              </w:rPr>
              <w:t>maintain</w:t>
            </w:r>
            <w:proofErr w:type="gramEnd"/>
            <w:r w:rsidRPr="00FD7CCB">
              <w:rPr>
                <w:szCs w:val="22"/>
              </w:rPr>
              <w:t xml:space="preserve"> your catalyst so that the pressure drop across the catalyst does not change by more than 2 inches of water from the pressure drop across the catalyst that was measured during the initial performance test;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b. </w:t>
            </w:r>
            <w:proofErr w:type="gramStart"/>
            <w:r w:rsidRPr="00FD7CCB">
              <w:rPr>
                <w:szCs w:val="22"/>
              </w:rPr>
              <w:t>maintain</w:t>
            </w:r>
            <w:proofErr w:type="gramEnd"/>
            <w:r w:rsidRPr="00FD7CCB">
              <w:rPr>
                <w:szCs w:val="22"/>
              </w:rPr>
              <w:t xml:space="preserve"> the temperature of your stationary RICE exhaust so that the catalyst inlet temperature is greater than or equal to 450 °F and less than or equal to 1350 °F.</w:t>
            </w:r>
            <w:r w:rsidRPr="00FD7CCB">
              <w:rPr>
                <w:szCs w:val="22"/>
                <w:vertAlign w:val="superscript"/>
              </w:rPr>
              <w:t>1</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Comply with any operating limitations approved by the Administrator.</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w:t>
            </w:r>
            <w:r w:rsidRPr="00FD7CCB">
              <w:rPr>
                <w:szCs w:val="22"/>
              </w:rPr>
              <w:lastRenderedPageBreak/>
              <w:t>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bl>
    <w:p w:rsidR="00FD7CCB" w:rsidRPr="00FD7CCB" w:rsidRDefault="00FD7CCB" w:rsidP="00FD7CCB">
      <w:pPr>
        <w:pStyle w:val="gpotblnote"/>
        <w:rPr>
          <w:sz w:val="22"/>
          <w:szCs w:val="22"/>
        </w:rPr>
      </w:pPr>
      <w:r w:rsidRPr="00FD7CCB">
        <w:rPr>
          <w:sz w:val="22"/>
          <w:szCs w:val="22"/>
          <w:vertAlign w:val="superscript"/>
        </w:rPr>
        <w:t>1</w:t>
      </w:r>
      <w:r w:rsidRPr="00FD7CCB">
        <w:rPr>
          <w:sz w:val="22"/>
          <w:szCs w:val="22"/>
        </w:rPr>
        <w:t>Sources can petition the Administrator pursuant to the requirements of 40 CFR 63.8(f) for a different temperature range.</w:t>
      </w:r>
    </w:p>
    <w:p w:rsidR="00FD7CCB" w:rsidRPr="00FD7CCB" w:rsidRDefault="00FD7CCB" w:rsidP="00FD7CCB">
      <w:pPr>
        <w:pStyle w:val="cita"/>
        <w:rPr>
          <w:sz w:val="22"/>
          <w:szCs w:val="22"/>
        </w:rPr>
      </w:pPr>
      <w:r w:rsidRPr="00FD7CCB">
        <w:rPr>
          <w:sz w:val="22"/>
          <w:szCs w:val="22"/>
        </w:rPr>
        <w:t>[78 FR 6707, Jan. 30, 2013]</w:t>
      </w:r>
    </w:p>
    <w:p w:rsidR="00FD7CCB" w:rsidRPr="00FD7CCB" w:rsidRDefault="00FD7CCB" w:rsidP="00FD7CCB">
      <w:pPr>
        <w:pStyle w:val="Heading2"/>
        <w:rPr>
          <w:rFonts w:ascii="Times New Roman" w:hAnsi="Times New Roman" w:cs="Times New Roman"/>
          <w:sz w:val="22"/>
          <w:szCs w:val="22"/>
        </w:rPr>
      </w:pPr>
      <w:bookmarkStart w:id="90" w:name="ap40.15.63_16675.5"/>
      <w:bookmarkEnd w:id="90"/>
      <w:r w:rsidRPr="00FD7CCB">
        <w:rPr>
          <w:rFonts w:ascii="Times New Roman" w:hAnsi="Times New Roman" w:cs="Times New Roman"/>
          <w:sz w:val="22"/>
          <w:szCs w:val="22"/>
        </w:rPr>
        <w:t>Table 2</w:t>
      </w:r>
      <w:r w:rsidRPr="00FD7CCB">
        <w:rPr>
          <w:rFonts w:ascii="Times New Roman" w:hAnsi="Times New Roman" w:cs="Times New Roman"/>
          <w:b/>
          <w:bCs/>
          <w:sz w:val="22"/>
          <w:szCs w:val="22"/>
        </w:rPr>
        <w:t>c</w:t>
      </w:r>
      <w:r w:rsidRPr="00FD7CCB">
        <w:rPr>
          <w:rFonts w:ascii="Times New Roman" w:hAnsi="Times New Roman" w:cs="Times New Roman"/>
          <w:sz w:val="22"/>
          <w:szCs w:val="22"/>
        </w:rPr>
        <w:t xml:space="preserve"> to Subpart ZZZZ of Part 63—Requirements for Existing Compression Ignition Stationary RICE Located at a Major Source of HAP Emissions and Existing Spark Ignition Stationary RICE ≤500 HP Located at a Major Source of HAP Emissions</w:t>
      </w:r>
    </w:p>
    <w:p w:rsidR="00FD7CCB" w:rsidRPr="00FD7CCB" w:rsidRDefault="00FD7CCB" w:rsidP="00FD7CCB">
      <w:pPr>
        <w:pStyle w:val="NormalWeb"/>
        <w:rPr>
          <w:sz w:val="22"/>
          <w:szCs w:val="22"/>
        </w:rPr>
      </w:pPr>
      <w:r w:rsidRPr="00FD7CCB">
        <w:rPr>
          <w:sz w:val="22"/>
          <w:szCs w:val="22"/>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07"/>
        <w:gridCol w:w="2668"/>
        <w:gridCol w:w="4035"/>
      </w:tblGrid>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For </w:t>
            </w:r>
            <w:proofErr w:type="gramStart"/>
            <w:r w:rsidRPr="00FD7CCB">
              <w:rPr>
                <w:b/>
                <w:bCs/>
                <w:szCs w:val="22"/>
              </w:rPr>
              <w:t>each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You must meet the following requirement, except during periods of </w:t>
            </w:r>
            <w:proofErr w:type="gramStart"/>
            <w:r w:rsidRPr="00FD7CCB">
              <w:rPr>
                <w:b/>
                <w:bCs/>
                <w:szCs w:val="22"/>
              </w:rPr>
              <w:t>startup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During periods of startup you </w:t>
            </w:r>
            <w:proofErr w:type="gramStart"/>
            <w:r w:rsidRPr="00FD7CCB">
              <w:rPr>
                <w:b/>
                <w:bCs/>
                <w:szCs w:val="22"/>
              </w:rPr>
              <w:t>must .</w:t>
            </w:r>
            <w:proofErr w:type="gramEnd"/>
            <w:r w:rsidRPr="00FD7CCB">
              <w:rPr>
                <w:b/>
                <w:bCs/>
                <w:szCs w:val="22"/>
              </w:rPr>
              <w:t>  .  .</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Emergency stationary CI RICE and black start stationary CI RICE</w:t>
            </w:r>
            <w:r w:rsidRPr="00FD7CCB">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Change oil and filter every 500 hours of operation or annually, whichever comes first.</w:t>
            </w:r>
            <w:r w:rsidRPr="00FD7CCB">
              <w:rPr>
                <w:szCs w:val="22"/>
                <w:vertAlign w:val="superscript"/>
              </w:rPr>
              <w:t>2</w:t>
            </w:r>
            <w:r w:rsidRPr="00FD7CCB">
              <w:rPr>
                <w:szCs w:val="22"/>
              </w:rPr>
              <w:br/>
              <w:t>b. Inspect air cleaner every 1,000 hours of operation or annually, whichever comes first, and replace as necessary;</w:t>
            </w:r>
            <w:r w:rsidRPr="00FD7CCB">
              <w:rPr>
                <w:szCs w:val="22"/>
              </w:rPr>
              <w:br/>
              <w:t>c. Inspect all hoses and belts every 500 hours of operation or annually, whichever comes first, and replace as necessary.</w:t>
            </w:r>
            <w:r w:rsidRPr="00FD7CCB">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FD7CCB">
              <w:rPr>
                <w:szCs w:val="22"/>
                <w:vertAlign w:val="superscript"/>
              </w:rPr>
              <w:t>3</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Change oil and filter every 1,000 hours of operation or annually, whichever comes first.</w:t>
            </w:r>
            <w:r w:rsidRPr="00FD7CCB">
              <w:rPr>
                <w:szCs w:val="22"/>
                <w:vertAlign w:val="superscript"/>
              </w:rPr>
              <w:t>2</w:t>
            </w:r>
            <w:r w:rsidRPr="00FD7CCB">
              <w:rPr>
                <w:szCs w:val="22"/>
              </w:rPr>
              <w:br/>
              <w:t>b. Inspect air cleaner every 1,000 hours of operation or annually, whichever comes first, and replace as necessary;</w:t>
            </w:r>
            <w:r w:rsidRPr="00FD7CCB">
              <w:rPr>
                <w:szCs w:val="22"/>
              </w:rPr>
              <w:br/>
              <w:t xml:space="preserve">c. Inspect all hoses and belts </w:t>
            </w:r>
            <w:r w:rsidRPr="00FD7CCB">
              <w:rPr>
                <w:szCs w:val="22"/>
              </w:rPr>
              <w:lastRenderedPageBreak/>
              <w:t>every 500 hours of operation or annually, whichever comes first, and replace as necessary.</w:t>
            </w:r>
            <w:r w:rsidRPr="00FD7CCB">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Limit concentration of CO in the stationary RICE exhaust to 230 ppmvd or less at 15 percent O</w:t>
            </w:r>
            <w:r w:rsidRPr="00FD7CCB">
              <w:rPr>
                <w:szCs w:val="22"/>
                <w:vertAlign w:val="subscript"/>
              </w:rPr>
              <w:t>2</w:t>
            </w: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Limit concentration of CO in the stationary RICE exhaust to 49 ppmvd or less at 15 percent O</w:t>
            </w:r>
            <w:r w:rsidRPr="00FD7CCB">
              <w:rPr>
                <w:szCs w:val="22"/>
                <w:vertAlign w:val="subscript"/>
              </w:rPr>
              <w:t>2</w:t>
            </w:r>
            <w:r w:rsidRPr="00FD7CCB">
              <w:rPr>
                <w:szCs w:val="22"/>
              </w:rPr>
              <w:t>; or</w:t>
            </w:r>
            <w:r w:rsidRPr="00FD7CCB">
              <w:rPr>
                <w:szCs w:val="22"/>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Limit concentration of CO in the stationary RICE exhaust to 23 ppmvd or less at 15 percent O</w:t>
            </w:r>
            <w:r w:rsidRPr="00FD7CCB">
              <w:rPr>
                <w:szCs w:val="22"/>
                <w:vertAlign w:val="subscript"/>
              </w:rPr>
              <w:t>2</w:t>
            </w:r>
            <w:r w:rsidRPr="00FD7CCB">
              <w:rPr>
                <w:szCs w:val="22"/>
              </w:rPr>
              <w:t>; or</w:t>
            </w:r>
            <w:r w:rsidRPr="00FD7CCB">
              <w:rPr>
                <w:szCs w:val="22"/>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 Emergency stationary SI RICE and black start stationary SI RICE.</w:t>
            </w:r>
            <w:r w:rsidRPr="00FD7CCB">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Change oil and filter every 500 hours of operation or annually, whichever comes first;</w:t>
            </w:r>
            <w:r w:rsidRPr="00FD7CCB">
              <w:rPr>
                <w:szCs w:val="22"/>
                <w:vertAlign w:val="superscript"/>
              </w:rPr>
              <w:t>2</w:t>
            </w:r>
            <w:r w:rsidRPr="00FD7CCB">
              <w:rPr>
                <w:szCs w:val="22"/>
              </w:rPr>
              <w:br/>
              <w:t>b. Inspect spark plugs every 1,000 hours of operation or annually, whichever comes first, and replace as necessary;</w:t>
            </w:r>
            <w:r w:rsidRPr="00FD7CCB">
              <w:rPr>
                <w:szCs w:val="22"/>
              </w:rPr>
              <w:br/>
              <w:t>c. Inspect all hoses and belts every 500 hours of operation or annually, whichever comes first, and replace as necessary.</w:t>
            </w:r>
            <w:r w:rsidRPr="00FD7CCB">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Change oil and filter every 1,440 hours of operation or annually, whichever comes first;</w:t>
            </w:r>
            <w:r w:rsidRPr="00FD7CCB">
              <w:rPr>
                <w:szCs w:val="22"/>
                <w:vertAlign w:val="superscript"/>
              </w:rPr>
              <w:t>2</w:t>
            </w:r>
            <w:r w:rsidRPr="00FD7CCB">
              <w:rPr>
                <w:szCs w:val="22"/>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c. Inspect all hoses and belts every 1,440 hours of </w:t>
            </w:r>
            <w:r w:rsidRPr="00FD7CCB">
              <w:rPr>
                <w:szCs w:val="22"/>
              </w:rPr>
              <w:lastRenderedPageBreak/>
              <w:t>operation or annually, whichever comes first, and replace as necessary.</w:t>
            </w:r>
            <w:r w:rsidRPr="00FD7CCB">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Change oil and filter every 4,320 hours of operation or annually, whichever comes first;</w:t>
            </w:r>
            <w:r w:rsidRPr="00FD7CCB">
              <w:rPr>
                <w:szCs w:val="22"/>
                <w:vertAlign w:val="superscript"/>
              </w:rPr>
              <w:t>2</w:t>
            </w:r>
            <w:r w:rsidRPr="00FD7CCB">
              <w:rPr>
                <w:szCs w:val="22"/>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 Inspect all hoses and belts every 4,320 hours of operation or annually, whichever comes first, and replace as necessary.</w:t>
            </w:r>
            <w:r w:rsidRPr="00FD7CCB">
              <w:rPr>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Limit concentration of CO in the stationary RICE exhaust to 225 ppmvd or less at 15 percent O</w:t>
            </w:r>
            <w:r w:rsidRPr="00FD7CCB">
              <w:rPr>
                <w:szCs w:val="22"/>
                <w:vertAlign w:val="subscript"/>
              </w:rPr>
              <w:t>2</w:t>
            </w: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Limit concentration of CO in the stationary RICE exhaust to 47 ppmvd or less at 15 percent O</w:t>
            </w:r>
            <w:r w:rsidRPr="00FD7CCB">
              <w:rPr>
                <w:szCs w:val="22"/>
                <w:vertAlign w:val="subscript"/>
              </w:rPr>
              <w:t>2</w:t>
            </w: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Limit concentration of formaldehyde in the stationary RICE exhaust to 10.3 ppmvd or less at 15 percent O</w:t>
            </w:r>
            <w:r w:rsidRPr="00FD7CCB">
              <w:rPr>
                <w:szCs w:val="22"/>
                <w:vertAlign w:val="subscript"/>
              </w:rPr>
              <w:t>2</w:t>
            </w: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Limit concentration of CO in the stationary RICE exhaust to 177 ppmvd or less at 15 percent O</w:t>
            </w:r>
            <w:r w:rsidRPr="00FD7CCB">
              <w:rPr>
                <w:szCs w:val="22"/>
                <w:vertAlign w:val="subscript"/>
              </w:rPr>
              <w:t>2</w:t>
            </w: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bl>
    <w:p w:rsidR="00FD7CCB" w:rsidRPr="00FD7CCB" w:rsidRDefault="00FD7CCB" w:rsidP="00FD7CCB">
      <w:pPr>
        <w:pStyle w:val="gpotblnote"/>
        <w:rPr>
          <w:sz w:val="22"/>
          <w:szCs w:val="22"/>
        </w:rPr>
      </w:pPr>
      <w:r w:rsidRPr="00FD7CCB">
        <w:rPr>
          <w:sz w:val="22"/>
          <w:szCs w:val="22"/>
          <w:vertAlign w:val="superscript"/>
        </w:rPr>
        <w:t>1</w:t>
      </w:r>
      <w:r w:rsidRPr="00FD7CCB">
        <w:rPr>
          <w:sz w:val="22"/>
          <w:szCs w:val="22"/>
        </w:rPr>
        <w:t xml:space="preserve">If an emergency engine is operating during an emergency and it is not possible to shut down the engine </w:t>
      </w:r>
      <w:proofErr w:type="gramStart"/>
      <w:r w:rsidRPr="00FD7CCB">
        <w:rPr>
          <w:sz w:val="22"/>
          <w:szCs w:val="22"/>
        </w:rPr>
        <w:t>in order to</w:t>
      </w:r>
      <w:proofErr w:type="gramEnd"/>
      <w:r w:rsidRPr="00FD7CCB">
        <w:rPr>
          <w:sz w:val="22"/>
          <w:szCs w:val="22"/>
        </w:rPr>
        <w:t xml:space="preserve">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FD7CCB" w:rsidRPr="00FD7CCB" w:rsidRDefault="00FD7CCB" w:rsidP="00FD7CCB">
      <w:pPr>
        <w:pStyle w:val="gpotblnote"/>
        <w:rPr>
          <w:sz w:val="22"/>
          <w:szCs w:val="22"/>
        </w:rPr>
      </w:pPr>
      <w:r w:rsidRPr="00FD7CCB">
        <w:rPr>
          <w:sz w:val="22"/>
          <w:szCs w:val="22"/>
          <w:vertAlign w:val="superscript"/>
        </w:rPr>
        <w:lastRenderedPageBreak/>
        <w:t>2</w:t>
      </w:r>
      <w:r w:rsidRPr="00FD7CCB">
        <w:rPr>
          <w:sz w:val="22"/>
          <w:szCs w:val="22"/>
        </w:rPr>
        <w:t xml:space="preserve">Sources have the option to utilize an oil analysis program as described in §63.6625(i) or (j) </w:t>
      </w:r>
      <w:proofErr w:type="gramStart"/>
      <w:r w:rsidRPr="00FD7CCB">
        <w:rPr>
          <w:sz w:val="22"/>
          <w:szCs w:val="22"/>
        </w:rPr>
        <w:t>in order to</w:t>
      </w:r>
      <w:proofErr w:type="gramEnd"/>
      <w:r w:rsidRPr="00FD7CCB">
        <w:rPr>
          <w:sz w:val="22"/>
          <w:szCs w:val="22"/>
        </w:rPr>
        <w:t xml:space="preserve"> extend the specified oil change requirement in Table 2c of this subpart.</w:t>
      </w:r>
    </w:p>
    <w:p w:rsidR="00FD7CCB" w:rsidRPr="00FD7CCB" w:rsidRDefault="00FD7CCB" w:rsidP="00FD7CCB">
      <w:pPr>
        <w:pStyle w:val="gpotblnote"/>
        <w:rPr>
          <w:sz w:val="22"/>
          <w:szCs w:val="22"/>
        </w:rPr>
      </w:pPr>
      <w:r w:rsidRPr="00FD7CCB">
        <w:rPr>
          <w:sz w:val="22"/>
          <w:szCs w:val="22"/>
          <w:vertAlign w:val="superscript"/>
        </w:rPr>
        <w:t>3</w:t>
      </w:r>
      <w:r w:rsidRPr="00FD7CCB">
        <w:rPr>
          <w:sz w:val="22"/>
          <w:szCs w:val="22"/>
        </w:rPr>
        <w:t>Sources can petition the Administrator pursuant to the requirements of 40 CFR 63.6(g) for alternative work practices.</w:t>
      </w:r>
    </w:p>
    <w:p w:rsidR="00FD7CCB" w:rsidRPr="00FD7CCB" w:rsidRDefault="00FD7CCB" w:rsidP="00FD7CCB">
      <w:pPr>
        <w:pStyle w:val="cita"/>
        <w:rPr>
          <w:sz w:val="22"/>
          <w:szCs w:val="22"/>
        </w:rPr>
      </w:pPr>
      <w:r w:rsidRPr="00FD7CCB">
        <w:rPr>
          <w:sz w:val="22"/>
          <w:szCs w:val="22"/>
        </w:rPr>
        <w:t>[78 FR 6708, Jan. 30, 2013, as amended at 78 FR 14457, Mar. 6, 2013]</w:t>
      </w:r>
    </w:p>
    <w:p w:rsidR="00FD7CCB" w:rsidRPr="00FD7CCB" w:rsidRDefault="00FD7CCB" w:rsidP="00FD7CCB">
      <w:pPr>
        <w:pStyle w:val="Heading2"/>
        <w:rPr>
          <w:rFonts w:ascii="Times New Roman" w:hAnsi="Times New Roman" w:cs="Times New Roman"/>
          <w:sz w:val="22"/>
          <w:szCs w:val="22"/>
        </w:rPr>
      </w:pPr>
      <w:bookmarkStart w:id="91" w:name="ap40.15.63_16675.6"/>
      <w:bookmarkEnd w:id="91"/>
      <w:r w:rsidRPr="00FD7CCB">
        <w:rPr>
          <w:rFonts w:ascii="Times New Roman" w:hAnsi="Times New Roman" w:cs="Times New Roman"/>
          <w:sz w:val="22"/>
          <w:szCs w:val="22"/>
        </w:rPr>
        <w:t>Table 2</w:t>
      </w:r>
      <w:r w:rsidRPr="00FD7CCB">
        <w:rPr>
          <w:rFonts w:ascii="Times New Roman" w:hAnsi="Times New Roman" w:cs="Times New Roman"/>
          <w:b/>
          <w:bCs/>
          <w:sz w:val="22"/>
          <w:szCs w:val="22"/>
        </w:rPr>
        <w:t>d</w:t>
      </w:r>
      <w:r w:rsidRPr="00FD7CCB">
        <w:rPr>
          <w:rFonts w:ascii="Times New Roman" w:hAnsi="Times New Roman" w:cs="Times New Roman"/>
          <w:sz w:val="22"/>
          <w:szCs w:val="22"/>
        </w:rPr>
        <w:t xml:space="preserve"> to Subpart ZZZZ of Part 63—Requirements for Existing Stationary RICE Located at Area Sources of HAP Emissions</w:t>
      </w:r>
    </w:p>
    <w:p w:rsidR="00FD7CCB" w:rsidRPr="00FD7CCB" w:rsidRDefault="00FD7CCB" w:rsidP="00FD7CCB">
      <w:pPr>
        <w:pStyle w:val="NormalWeb"/>
        <w:rPr>
          <w:sz w:val="22"/>
          <w:szCs w:val="22"/>
        </w:rPr>
      </w:pPr>
      <w:r w:rsidRPr="00FD7CCB">
        <w:rPr>
          <w:sz w:val="22"/>
          <w:szCs w:val="22"/>
        </w:rPr>
        <w:t>As stated in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98"/>
        <w:gridCol w:w="2412"/>
        <w:gridCol w:w="3500"/>
      </w:tblGrid>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For </w:t>
            </w:r>
            <w:proofErr w:type="gramStart"/>
            <w:r w:rsidRPr="00FD7CCB">
              <w:rPr>
                <w:b/>
                <w:bCs/>
                <w:szCs w:val="22"/>
              </w:rPr>
              <w:t>each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You must meet the following requirement, except during periods of </w:t>
            </w:r>
            <w:proofErr w:type="gramStart"/>
            <w:r w:rsidRPr="00FD7CCB">
              <w:rPr>
                <w:b/>
                <w:bCs/>
                <w:szCs w:val="22"/>
              </w:rPr>
              <w:t>startup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During periods of startup you </w:t>
            </w:r>
            <w:proofErr w:type="gramStart"/>
            <w:r w:rsidRPr="00FD7CCB">
              <w:rPr>
                <w:b/>
                <w:bCs/>
                <w:szCs w:val="22"/>
              </w:rPr>
              <w:t>must .</w:t>
            </w:r>
            <w:proofErr w:type="gramEnd"/>
            <w:r w:rsidRPr="00FD7CCB">
              <w:rPr>
                <w:b/>
                <w:bCs/>
                <w:szCs w:val="22"/>
              </w:rPr>
              <w:t>  .  .</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Change oil and filter every 1,000 hours of operation or annually, whichever comes first;</w:t>
            </w:r>
            <w:r w:rsidRPr="00FD7CCB">
              <w:rPr>
                <w:szCs w:val="22"/>
                <w:vertAlign w:val="superscript"/>
              </w:rPr>
              <w:t>1</w:t>
            </w:r>
            <w:r w:rsidRPr="00FD7CCB">
              <w:rPr>
                <w:szCs w:val="22"/>
              </w:rPr>
              <w:br/>
              <w:t>b. Inspect air cleaner every 1,000 hours of operation or annually, whichever comes first, and replace as necessary;</w:t>
            </w:r>
            <w:r w:rsidRPr="00FD7CCB">
              <w:rPr>
                <w:szCs w:val="22"/>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Minimize the engine's time spent at idle and minimize the engine's startup time at startup to a period needed for appropriate and safe loading of the engine, not to exceed 30 minutes, after which time the non-startup emission limitations apply.</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Limit concentration of CO in the stationary RICE exhaust to 49 ppmvd at 15 percent O</w:t>
            </w:r>
            <w:r w:rsidRPr="00FD7CCB">
              <w:rPr>
                <w:szCs w:val="22"/>
                <w:vertAlign w:val="subscript"/>
              </w:rPr>
              <w:t>2</w:t>
            </w:r>
            <w:r w:rsidRPr="00FD7CCB">
              <w:rPr>
                <w:szCs w:val="22"/>
              </w:rPr>
              <w:t>; or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Limit concentration of CO in the stationary RICE exhaust to 23 ppmvd at 15 percent O</w:t>
            </w:r>
            <w:r w:rsidRPr="00FD7CCB">
              <w:rPr>
                <w:szCs w:val="22"/>
                <w:vertAlign w:val="subscript"/>
              </w:rPr>
              <w:t>2</w:t>
            </w:r>
            <w:r w:rsidRPr="00FD7CCB">
              <w:rPr>
                <w:szCs w:val="22"/>
              </w:rPr>
              <w:t>; or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4. Emergency stationary CI RICE and black start stationary CI RICE.</w:t>
            </w:r>
            <w:r w:rsidRPr="00FD7CCB">
              <w:rPr>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Change oil and filter every 500 hours of operation or annually, whichever comes first;</w:t>
            </w:r>
            <w:r w:rsidRPr="00FD7CCB">
              <w:rPr>
                <w:szCs w:val="22"/>
                <w:vertAlign w:val="superscript"/>
              </w:rPr>
              <w:t>1</w:t>
            </w:r>
            <w:r w:rsidRPr="00FD7CCB">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FD7CCB">
              <w:rPr>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Change oil and filter every 500 hours of operation or annually, whichever comes first;</w:t>
            </w:r>
            <w:r w:rsidRPr="00FD7CCB">
              <w:rPr>
                <w:szCs w:val="22"/>
                <w:vertAlign w:val="superscript"/>
              </w:rPr>
              <w:t>1</w:t>
            </w:r>
            <w:r w:rsidRPr="00FD7CCB">
              <w:rPr>
                <w:szCs w:val="22"/>
              </w:rPr>
              <w:t>;</w:t>
            </w:r>
            <w:r w:rsidRPr="00FD7CCB">
              <w:rPr>
                <w:szCs w:val="22"/>
              </w:rPr>
              <w:br/>
              <w:t>b. Inspect spark plugs every 1,000 hours of operation or annually, whichever comes first, and replace as necessary; and</w:t>
            </w:r>
            <w:r w:rsidRPr="00FD7CCB">
              <w:rPr>
                <w:szCs w:val="22"/>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Change oil and filter every 4,320 hours of operation or annually, whichever comes first;</w:t>
            </w:r>
            <w:r w:rsidRPr="00FD7CCB">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a. Change oil and filter every 1,440 hours of </w:t>
            </w:r>
            <w:r w:rsidRPr="00FD7CCB">
              <w:rPr>
                <w:szCs w:val="22"/>
              </w:rPr>
              <w:lastRenderedPageBreak/>
              <w:t>operation or annually, whichever comes first;</w:t>
            </w:r>
            <w:r w:rsidRPr="00FD7CCB">
              <w:rPr>
                <w:szCs w:val="22"/>
                <w:vertAlign w:val="superscript"/>
              </w:rPr>
              <w:t>1</w:t>
            </w:r>
            <w:r w:rsidRPr="00FD7CCB">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Change oil and filter every 2,160 hours of operation or annually, whichever comes first;</w:t>
            </w:r>
            <w:r w:rsidRPr="00FD7CCB">
              <w:rPr>
                <w:szCs w:val="22"/>
                <w:vertAlign w:val="superscript"/>
              </w:rPr>
              <w:t>1</w:t>
            </w:r>
            <w:r w:rsidRPr="00FD7CCB">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Change oil and filter every 1,440 hours of operation or annually, whichever comes first;</w:t>
            </w:r>
            <w:r w:rsidRPr="00FD7CCB">
              <w:rPr>
                <w:szCs w:val="22"/>
                <w:vertAlign w:val="superscript"/>
              </w:rPr>
              <w:t>1</w:t>
            </w:r>
            <w:r w:rsidRPr="00FD7CCB">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c. Inspect all hoses and belts every 1,440 hours of operation or annually, whichever comes first, and </w:t>
            </w:r>
            <w:r w:rsidRPr="00FD7CCB">
              <w:rPr>
                <w:szCs w:val="22"/>
              </w:rPr>
              <w:lastRenderedPageBreak/>
              <w:t>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Change oil and filter every 2,160 hours of operation or annually, whichever comes first;</w:t>
            </w:r>
            <w:r w:rsidRPr="00FD7CCB">
              <w:rPr>
                <w:szCs w:val="22"/>
                <w:vertAlign w:val="superscript"/>
              </w:rPr>
              <w:t>1</w:t>
            </w:r>
            <w:r w:rsidRPr="00FD7CCB">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Change oil and filter every 1,440 hours of operation or annually, whichever comes first;</w:t>
            </w:r>
            <w:r w:rsidRPr="00FD7CCB">
              <w:rPr>
                <w:szCs w:val="22"/>
                <w:vertAlign w:val="superscript"/>
              </w:rPr>
              <w:t>1</w:t>
            </w:r>
            <w:r w:rsidRPr="00FD7CCB">
              <w:rPr>
                <w:szCs w:val="22"/>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bl>
    <w:p w:rsidR="00FD7CCB" w:rsidRPr="00FD7CCB" w:rsidRDefault="00FD7CCB" w:rsidP="00FD7CCB">
      <w:pPr>
        <w:pStyle w:val="gpotblnote"/>
        <w:rPr>
          <w:sz w:val="22"/>
          <w:szCs w:val="22"/>
        </w:rPr>
      </w:pPr>
      <w:r w:rsidRPr="00FD7CCB">
        <w:rPr>
          <w:sz w:val="22"/>
          <w:szCs w:val="22"/>
          <w:vertAlign w:val="superscript"/>
        </w:rPr>
        <w:t>1</w:t>
      </w:r>
      <w:r w:rsidRPr="00FD7CCB">
        <w:rPr>
          <w:sz w:val="22"/>
          <w:szCs w:val="22"/>
        </w:rPr>
        <w:t xml:space="preserve">Sources have the option to utilize an oil analysis program as described in §63.6625(i) or (j) </w:t>
      </w:r>
      <w:proofErr w:type="gramStart"/>
      <w:r w:rsidRPr="00FD7CCB">
        <w:rPr>
          <w:sz w:val="22"/>
          <w:szCs w:val="22"/>
        </w:rPr>
        <w:t>in order to</w:t>
      </w:r>
      <w:proofErr w:type="gramEnd"/>
      <w:r w:rsidRPr="00FD7CCB">
        <w:rPr>
          <w:sz w:val="22"/>
          <w:szCs w:val="22"/>
        </w:rPr>
        <w:t xml:space="preserve"> extend the specified oil change requirement in Table 2d of this subpart.</w:t>
      </w:r>
    </w:p>
    <w:p w:rsidR="00864D72" w:rsidRDefault="00FD7CCB" w:rsidP="00FD7CCB">
      <w:pPr>
        <w:pStyle w:val="gpotblnote"/>
        <w:rPr>
          <w:sz w:val="22"/>
          <w:szCs w:val="22"/>
        </w:rPr>
      </w:pPr>
      <w:r w:rsidRPr="00FD7CCB">
        <w:rPr>
          <w:sz w:val="22"/>
          <w:szCs w:val="22"/>
          <w:vertAlign w:val="superscript"/>
        </w:rPr>
        <w:t>2</w:t>
      </w:r>
      <w:r w:rsidRPr="00FD7CCB">
        <w:rPr>
          <w:sz w:val="22"/>
          <w:szCs w:val="22"/>
        </w:rPr>
        <w:t xml:space="preserve">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w:t>
      </w:r>
    </w:p>
    <w:p w:rsidR="00864D72" w:rsidRDefault="00864D72">
      <w:pPr>
        <w:rPr>
          <w:szCs w:val="22"/>
        </w:rPr>
      </w:pPr>
      <w:r>
        <w:rPr>
          <w:szCs w:val="22"/>
        </w:rPr>
        <w:br w:type="page"/>
      </w:r>
    </w:p>
    <w:p w:rsidR="00FD7CCB" w:rsidRPr="00FD7CCB" w:rsidRDefault="00FD7CCB" w:rsidP="00FD7CCB">
      <w:pPr>
        <w:pStyle w:val="gpotblnote"/>
        <w:rPr>
          <w:sz w:val="22"/>
          <w:szCs w:val="22"/>
        </w:rPr>
      </w:pPr>
      <w:r w:rsidRPr="00FD7CCB">
        <w:rPr>
          <w:sz w:val="22"/>
          <w:szCs w:val="22"/>
        </w:rPr>
        <w:lastRenderedPageBreak/>
        <w:t>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FD7CCB" w:rsidRPr="00FD7CCB" w:rsidRDefault="00FD7CCB" w:rsidP="00FD7CCB">
      <w:pPr>
        <w:pStyle w:val="cita"/>
        <w:rPr>
          <w:sz w:val="22"/>
          <w:szCs w:val="22"/>
        </w:rPr>
      </w:pPr>
      <w:r w:rsidRPr="00FD7CCB">
        <w:rPr>
          <w:sz w:val="22"/>
          <w:szCs w:val="22"/>
        </w:rPr>
        <w:t>[78 FR 6709, Jan. 30, 2013]</w:t>
      </w:r>
    </w:p>
    <w:p w:rsidR="00FD7CCB" w:rsidRPr="00FD7CCB" w:rsidRDefault="00FD7CCB" w:rsidP="00FD7CCB">
      <w:pPr>
        <w:pStyle w:val="Heading2"/>
        <w:rPr>
          <w:rFonts w:ascii="Times New Roman" w:hAnsi="Times New Roman" w:cs="Times New Roman"/>
          <w:sz w:val="22"/>
          <w:szCs w:val="22"/>
        </w:rPr>
      </w:pPr>
      <w:bookmarkStart w:id="92" w:name="ap40.15.63_16675.7"/>
      <w:bookmarkEnd w:id="92"/>
      <w:r w:rsidRPr="00FD7CCB">
        <w:rPr>
          <w:rFonts w:ascii="Times New Roman" w:hAnsi="Times New Roman" w:cs="Times New Roman"/>
          <w:sz w:val="22"/>
          <w:szCs w:val="22"/>
        </w:rPr>
        <w:t>Table 3 to Subpart ZZZZ of Part 63—Subsequent Performance Tests</w:t>
      </w:r>
    </w:p>
    <w:p w:rsidR="00FD7CCB" w:rsidRPr="00FD7CCB" w:rsidRDefault="00FD7CCB" w:rsidP="00FD7CCB">
      <w:pPr>
        <w:pStyle w:val="NormalWeb"/>
        <w:rPr>
          <w:sz w:val="22"/>
          <w:szCs w:val="22"/>
        </w:rPr>
      </w:pPr>
      <w:r w:rsidRPr="00FD7CCB">
        <w:rPr>
          <w:sz w:val="22"/>
          <w:szCs w:val="22"/>
        </w:rPr>
        <w:t>As stated in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89"/>
        <w:gridCol w:w="2260"/>
        <w:gridCol w:w="2661"/>
      </w:tblGrid>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For </w:t>
            </w:r>
            <w:proofErr w:type="gramStart"/>
            <w:r w:rsidRPr="00FD7CCB">
              <w:rPr>
                <w:b/>
                <w:bCs/>
                <w:szCs w:val="22"/>
              </w:rPr>
              <w:t>each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Complying with the requirement </w:t>
            </w:r>
            <w:proofErr w:type="gramStart"/>
            <w:r w:rsidRPr="00FD7CCB">
              <w:rPr>
                <w:b/>
                <w:bCs/>
                <w:szCs w:val="22"/>
              </w:rPr>
              <w:t>to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You </w:t>
            </w:r>
            <w:proofErr w:type="gramStart"/>
            <w:r w:rsidRPr="00FD7CCB">
              <w:rPr>
                <w:b/>
                <w:bCs/>
                <w:szCs w:val="22"/>
              </w:rPr>
              <w:t>must .</w:t>
            </w:r>
            <w:proofErr w:type="gramEnd"/>
            <w:r w:rsidRPr="00FD7CCB">
              <w:rPr>
                <w:b/>
                <w:bCs/>
                <w:szCs w:val="22"/>
              </w:rPr>
              <w:t>  .  .</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Conduct subsequent performance tests semiannually.</w:t>
            </w:r>
            <w:r w:rsidRPr="00FD7CCB">
              <w:rPr>
                <w:szCs w:val="22"/>
                <w:vertAlign w:val="superscript"/>
              </w:rPr>
              <w:t>1</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Conduct subsequent performance tests semiannually.</w:t>
            </w:r>
            <w:r w:rsidRPr="00FD7CCB">
              <w:rPr>
                <w:szCs w:val="22"/>
                <w:vertAlign w:val="superscript"/>
              </w:rPr>
              <w:t>1</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Conduct subsequent performance tests semiannually.</w:t>
            </w:r>
            <w:r w:rsidRPr="00FD7CCB">
              <w:rPr>
                <w:szCs w:val="22"/>
                <w:vertAlign w:val="superscript"/>
              </w:rPr>
              <w:t>1</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Conduct subsequent performance tests every 8,760 hours or 3 years, whichever comes first.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Conduct subsequent performance tests every 8,760 hours or 5 years, whichever comes first.</w:t>
            </w:r>
          </w:p>
        </w:tc>
      </w:tr>
    </w:tbl>
    <w:p w:rsidR="00FD7CCB" w:rsidRPr="00FD7CCB" w:rsidRDefault="00FD7CCB" w:rsidP="00FD7CCB">
      <w:pPr>
        <w:pStyle w:val="gpotblnote"/>
        <w:rPr>
          <w:sz w:val="22"/>
          <w:szCs w:val="22"/>
        </w:rPr>
      </w:pPr>
      <w:r w:rsidRPr="00FD7CCB">
        <w:rPr>
          <w:sz w:val="22"/>
          <w:szCs w:val="22"/>
          <w:vertAlign w:val="superscript"/>
        </w:rPr>
        <w:t>1</w:t>
      </w:r>
      <w:r w:rsidRPr="00FD7CCB">
        <w:rPr>
          <w:sz w:val="22"/>
          <w:szCs w:val="22"/>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FD7CCB" w:rsidRPr="00FD7CCB" w:rsidRDefault="00FD7CCB" w:rsidP="00FD7CCB">
      <w:pPr>
        <w:pStyle w:val="cita"/>
        <w:rPr>
          <w:sz w:val="22"/>
          <w:szCs w:val="22"/>
        </w:rPr>
      </w:pPr>
      <w:r w:rsidRPr="00FD7CCB">
        <w:rPr>
          <w:sz w:val="22"/>
          <w:szCs w:val="22"/>
        </w:rPr>
        <w:t>[78 FR 6711, Jan. 30, 2013]</w:t>
      </w:r>
    </w:p>
    <w:p w:rsidR="00FD7CCB" w:rsidRPr="00FD7CCB" w:rsidRDefault="00FD7CCB" w:rsidP="00FD7CCB">
      <w:pPr>
        <w:pStyle w:val="Heading2"/>
        <w:rPr>
          <w:rFonts w:ascii="Times New Roman" w:hAnsi="Times New Roman" w:cs="Times New Roman"/>
          <w:sz w:val="22"/>
          <w:szCs w:val="22"/>
        </w:rPr>
      </w:pPr>
      <w:bookmarkStart w:id="93" w:name="ap40.15.63_16675.8"/>
      <w:bookmarkEnd w:id="93"/>
      <w:r w:rsidRPr="00FD7CCB">
        <w:rPr>
          <w:rFonts w:ascii="Times New Roman" w:hAnsi="Times New Roman" w:cs="Times New Roman"/>
          <w:sz w:val="22"/>
          <w:szCs w:val="22"/>
        </w:rPr>
        <w:t>Table 4 to Subpart ZZZZ of Part 63—Requirements for Performance Tests</w:t>
      </w:r>
    </w:p>
    <w:p w:rsidR="00FD7CCB" w:rsidRPr="00FD7CCB" w:rsidRDefault="00FD7CCB" w:rsidP="00FD7CCB">
      <w:pPr>
        <w:pStyle w:val="NormalWeb"/>
        <w:rPr>
          <w:sz w:val="22"/>
          <w:szCs w:val="22"/>
        </w:rPr>
      </w:pPr>
      <w:r w:rsidRPr="00FD7CCB">
        <w:rPr>
          <w:sz w:val="22"/>
          <w:szCs w:val="22"/>
        </w:rPr>
        <w:t>As stated in §§63.6610, 63.6611,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84"/>
        <w:gridCol w:w="1590"/>
        <w:gridCol w:w="2173"/>
        <w:gridCol w:w="2235"/>
        <w:gridCol w:w="3028"/>
      </w:tblGrid>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lastRenderedPageBreak/>
              <w:t xml:space="preserve">For </w:t>
            </w:r>
            <w:proofErr w:type="gramStart"/>
            <w:r w:rsidRPr="00FD7CCB">
              <w:rPr>
                <w:b/>
                <w:bCs/>
                <w:szCs w:val="22"/>
              </w:rPr>
              <w:t>each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Complying with the</w:t>
            </w:r>
            <w:r w:rsidRPr="00FD7CCB">
              <w:rPr>
                <w:b/>
                <w:bCs/>
                <w:szCs w:val="22"/>
              </w:rPr>
              <w:br/>
              <w:t xml:space="preserve">requirement </w:t>
            </w:r>
            <w:proofErr w:type="gramStart"/>
            <w:r w:rsidRPr="00FD7CCB">
              <w:rPr>
                <w:b/>
                <w:bCs/>
                <w:szCs w:val="22"/>
              </w:rPr>
              <w:t>to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You </w:t>
            </w:r>
            <w:proofErr w:type="gramStart"/>
            <w:r w:rsidRPr="00FD7CCB">
              <w:rPr>
                <w:b/>
                <w:bCs/>
                <w:szCs w:val="22"/>
              </w:rPr>
              <w:t>must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proofErr w:type="gramStart"/>
            <w:r w:rsidRPr="00FD7CCB">
              <w:rPr>
                <w:b/>
                <w:bCs/>
                <w:szCs w:val="22"/>
              </w:rPr>
              <w:t>Using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According to the</w:t>
            </w:r>
            <w:r w:rsidRPr="00FD7CCB">
              <w:rPr>
                <w:b/>
                <w:bCs/>
                <w:szCs w:val="22"/>
              </w:rPr>
              <w:br/>
              <w:t xml:space="preserve">following </w:t>
            </w:r>
            <w:proofErr w:type="gramStart"/>
            <w:r w:rsidRPr="00FD7CCB">
              <w:rPr>
                <w:b/>
                <w:bCs/>
                <w:szCs w:val="22"/>
              </w:rPr>
              <w:t>requirements .</w:t>
            </w:r>
            <w:proofErr w:type="gramEnd"/>
            <w:r w:rsidRPr="00FD7CCB">
              <w:rPr>
                <w:b/>
                <w:bCs/>
                <w:szCs w:val="22"/>
              </w:rPr>
              <w:t>  .  .</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a. </w:t>
            </w:r>
            <w:proofErr w:type="gramStart"/>
            <w:r w:rsidRPr="00FD7CCB">
              <w:rPr>
                <w:szCs w:val="22"/>
              </w:rPr>
              <w:t>reduce</w:t>
            </w:r>
            <w:proofErr w:type="gramEnd"/>
            <w:r w:rsidRPr="00FD7CCB">
              <w:rPr>
                <w:szCs w:val="22"/>
              </w:rPr>
              <w:t xml:space="preserve"> CO emissions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For CO and O</w:t>
            </w:r>
            <w:r w:rsidRPr="00FD7CCB">
              <w:rPr>
                <w:szCs w:val="22"/>
                <w:vertAlign w:val="subscript"/>
              </w:rPr>
              <w:t>2</w:t>
            </w:r>
            <w:r w:rsidRPr="00FD7CCB">
              <w:rPr>
                <w:szCs w:val="22"/>
              </w:rPr>
              <w:t xml:space="preserv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FD7CCB">
              <w:rPr>
                <w:i/>
                <w:iCs/>
                <w:szCs w:val="22"/>
              </w:rPr>
              <w:t>and</w:t>
            </w:r>
            <w:r w:rsidRPr="00FD7CCB">
              <w:rPr>
                <w:szCs w:val="22"/>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Measure the O</w:t>
            </w:r>
            <w:r w:rsidRPr="00FD7CCB">
              <w:rPr>
                <w:szCs w:val="22"/>
                <w:vertAlign w:val="subscript"/>
              </w:rPr>
              <w:t>2</w:t>
            </w:r>
            <w:r w:rsidRPr="00FD7CCB">
              <w:rPr>
                <w:szCs w:val="22"/>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(1) Method 3 or 3A or 3B of 40 CFR part 60, appendix A-2, or ASTM Method D6522-00 (Reapproved </w:t>
            </w:r>
            <w:proofErr w:type="gramStart"/>
            <w:r w:rsidRPr="00FD7CCB">
              <w:rPr>
                <w:szCs w:val="22"/>
              </w:rPr>
              <w:t>2005)</w:t>
            </w:r>
            <w:r w:rsidRPr="00FD7CCB">
              <w:rPr>
                <w:szCs w:val="22"/>
                <w:vertAlign w:val="superscript"/>
              </w:rPr>
              <w:t>ac</w:t>
            </w:r>
            <w:proofErr w:type="gramEnd"/>
            <w:r w:rsidRPr="00FD7CCB">
              <w:rPr>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Measurements to determine O</w:t>
            </w:r>
            <w:r w:rsidRPr="00FD7CCB">
              <w:rPr>
                <w:szCs w:val="22"/>
                <w:vertAlign w:val="subscript"/>
              </w:rPr>
              <w:t>2</w:t>
            </w:r>
            <w:r w:rsidRPr="00FD7CCB">
              <w:rPr>
                <w:szCs w:val="22"/>
              </w:rPr>
              <w:t xml:space="preserve"> must be made at the same time as the measurements for CO concentration.</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(1) ASTM D6522-00 (Reapproved </w:t>
            </w:r>
            <w:proofErr w:type="gramStart"/>
            <w:r w:rsidRPr="00FD7CCB">
              <w:rPr>
                <w:szCs w:val="22"/>
              </w:rPr>
              <w:t>2005)</w:t>
            </w:r>
            <w:r w:rsidRPr="00FD7CCB">
              <w:rPr>
                <w:szCs w:val="22"/>
                <w:vertAlign w:val="superscript"/>
              </w:rPr>
              <w:t>abc</w:t>
            </w:r>
            <w:proofErr w:type="gramEnd"/>
            <w:r w:rsidRPr="00FD7CCB">
              <w:rPr>
                <w:szCs w:val="22"/>
              </w:rPr>
              <w:t xml:space="preserve"> (heated probe not necessary) or Method 10 of 40 CFR part 60, appendix A-4</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 The CO concentration must be at 15 percent O</w:t>
            </w:r>
            <w:r w:rsidRPr="00FD7CCB">
              <w:rPr>
                <w:szCs w:val="22"/>
                <w:vertAlign w:val="subscript"/>
              </w:rPr>
              <w:t>2</w:t>
            </w:r>
            <w:r w:rsidRPr="00FD7CCB">
              <w:rPr>
                <w:szCs w:val="22"/>
              </w:rPr>
              <w:t>, dry basis.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a. </w:t>
            </w:r>
            <w:proofErr w:type="gramStart"/>
            <w:r w:rsidRPr="00FD7CCB">
              <w:rPr>
                <w:szCs w:val="22"/>
              </w:rPr>
              <w:t>reduce</w:t>
            </w:r>
            <w:proofErr w:type="gramEnd"/>
            <w:r w:rsidRPr="00FD7CCB">
              <w:rPr>
                <w:szCs w:val="22"/>
              </w:rPr>
              <w:t xml:space="preserv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For formaldehyde, O</w:t>
            </w:r>
            <w:r w:rsidRPr="00FD7CCB">
              <w:rPr>
                <w:szCs w:val="22"/>
                <w:vertAlign w:val="subscript"/>
              </w:rPr>
              <w:t>2</w:t>
            </w:r>
            <w:r w:rsidRPr="00FD7CCB">
              <w:rPr>
                <w:szCs w:val="22"/>
              </w:rPr>
              <w:t xml:space="preserve">, and moisture measurement, ducts ≤6 inches in diameter may be sampled at a single point located at the duct centroid and ducts &gt;6 and ≤12 inches in diameter may be sampled at 3 traverse points located at 16.7, 50.0, and 83.3% </w:t>
            </w:r>
            <w:r w:rsidRPr="00FD7CCB">
              <w:rPr>
                <w:szCs w:val="22"/>
              </w:rPr>
              <w:lastRenderedPageBreak/>
              <w:t xml:space="preserve">of the measurement line (`3-point long line'). If the duct is &gt;12 inches in diameter </w:t>
            </w:r>
            <w:r w:rsidRPr="00FD7CCB">
              <w:rPr>
                <w:i/>
                <w:iCs/>
                <w:szCs w:val="22"/>
              </w:rPr>
              <w:t>and</w:t>
            </w:r>
            <w:r w:rsidRPr="00FD7CCB">
              <w:rPr>
                <w:szCs w:val="22"/>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Measure O</w:t>
            </w:r>
            <w:r w:rsidRPr="00FD7CCB">
              <w:rPr>
                <w:szCs w:val="22"/>
                <w:vertAlign w:val="subscript"/>
              </w:rPr>
              <w:t>2</w:t>
            </w:r>
            <w:r w:rsidRPr="00FD7CCB">
              <w:rPr>
                <w:szCs w:val="22"/>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(1) Method 3 or 3A or 3B of 40 CFR part 60, appendix A-2, or ASTM Method D6522-00 (Reapproved </w:t>
            </w:r>
            <w:proofErr w:type="gramStart"/>
            <w:r w:rsidRPr="00FD7CCB">
              <w:rPr>
                <w:szCs w:val="22"/>
              </w:rPr>
              <w:t>2005)</w:t>
            </w:r>
            <w:r w:rsidRPr="00FD7CCB">
              <w:rPr>
                <w:szCs w:val="22"/>
                <w:vertAlign w:val="superscript"/>
              </w:rPr>
              <w:t>a</w:t>
            </w:r>
            <w:proofErr w:type="gramEnd"/>
            <w:r w:rsidRPr="00FD7CCB">
              <w:rPr>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Measurements to determine O</w:t>
            </w:r>
            <w:r w:rsidRPr="00FD7CCB">
              <w:rPr>
                <w:szCs w:val="22"/>
                <w:vertAlign w:val="subscript"/>
              </w:rPr>
              <w:t>2</w:t>
            </w:r>
            <w:r w:rsidRPr="00FD7CCB">
              <w:rPr>
                <w:szCs w:val="22"/>
              </w:rPr>
              <w:t xml:space="preserve"> concentration must be made at the same time as the measurements for formaldehyde or THC concentration.</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Method 4 of 40 CFR part 60, appendix A-3, or Method 320 of 40 CFR part 63, appendix A, or ASTM D 6348-03</w:t>
            </w:r>
            <w:r w:rsidRPr="00FD7CCB">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Measurements to determine moisture content must be made at the same time and location as the measurements for formaldehyde or THC concentration.</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Method 320 or 323 of 40 CFR part 63, appendix A; or ASTM D6348-03</w:t>
            </w:r>
            <w:r w:rsidRPr="00FD7CCB">
              <w:rPr>
                <w:szCs w:val="22"/>
                <w:vertAlign w:val="superscript"/>
              </w:rPr>
              <w:t>a</w:t>
            </w:r>
            <w:r w:rsidRPr="00FD7CCB">
              <w:rPr>
                <w:szCs w:val="22"/>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Formaldehyde concentration must be at 15 percent O</w:t>
            </w:r>
            <w:r w:rsidRPr="00FD7CCB">
              <w:rPr>
                <w:szCs w:val="22"/>
                <w:vertAlign w:val="subscript"/>
              </w:rPr>
              <w:t>2</w:t>
            </w:r>
            <w:r w:rsidRPr="00FD7CCB">
              <w:rPr>
                <w:szCs w:val="22"/>
              </w:rPr>
              <w:t>, dry basis. Results of this test consist of the average of the three 1-hour or longer runs.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Method 25A, reported as propane,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THC concentration must be at 15 percent O</w:t>
            </w:r>
            <w:r w:rsidRPr="00FD7CCB">
              <w:rPr>
                <w:szCs w:val="22"/>
                <w:vertAlign w:val="subscript"/>
              </w:rPr>
              <w:t>2</w:t>
            </w:r>
            <w:r w:rsidRPr="00FD7CCB">
              <w:rPr>
                <w:szCs w:val="22"/>
              </w:rPr>
              <w:t>, dry basis. Results of this test consist of the average of the three 1-hour or longer runs.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a. limit the concentra-tion of formalde-hyde or CO in the </w:t>
            </w:r>
            <w:r w:rsidRPr="00FD7CCB">
              <w:rPr>
                <w:szCs w:val="22"/>
              </w:rPr>
              <w:lastRenderedPageBreak/>
              <w:t>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 xml:space="preserve">i. Select the sampling port location and the number/location of traverse points at the </w:t>
            </w:r>
            <w:r w:rsidRPr="00FD7CCB">
              <w:rPr>
                <w:szCs w:val="22"/>
              </w:rPr>
              <w:lastRenderedPageBreak/>
              <w:t>exhaust of the stationary RICE;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For formaldehyde, CO, O</w:t>
            </w:r>
            <w:r w:rsidRPr="00FD7CCB">
              <w:rPr>
                <w:szCs w:val="22"/>
                <w:vertAlign w:val="subscript"/>
              </w:rPr>
              <w:t>2</w:t>
            </w:r>
            <w:r w:rsidRPr="00FD7CCB">
              <w:rPr>
                <w:szCs w:val="22"/>
              </w:rPr>
              <w:t xml:space="preserve">, and moisture measurement, ducts ≤6 inches in diameter may be sampled at a single point located </w:t>
            </w:r>
            <w:r w:rsidRPr="00FD7CCB">
              <w:rPr>
                <w:szCs w:val="22"/>
              </w:rPr>
              <w:lastRenderedPageBreak/>
              <w:t xml:space="preserve">at the duct centroid and ducts &gt;6 and ≤12 inches in diameter may be sampled at 3 traverse points located at 16.7, 50.0, and 83.3% of the measurement line (`3-point long line'). If the duct is &gt;12 inches in diameter </w:t>
            </w:r>
            <w:r w:rsidRPr="00FD7CCB">
              <w:rPr>
                <w:i/>
                <w:iCs/>
                <w:szCs w:val="22"/>
              </w:rPr>
              <w:t>and</w:t>
            </w:r>
            <w:r w:rsidRPr="00FD7CCB">
              <w:rPr>
                <w:szCs w:val="22"/>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Determine the O</w:t>
            </w:r>
            <w:r w:rsidRPr="00FD7CCB">
              <w:rPr>
                <w:szCs w:val="22"/>
                <w:vertAlign w:val="subscript"/>
              </w:rPr>
              <w:t>2</w:t>
            </w:r>
            <w:r w:rsidRPr="00FD7CCB">
              <w:rPr>
                <w:szCs w:val="22"/>
              </w:rPr>
              <w:t xml:space="preserve"> 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(1) Method 3 or 3A or 3B of 40 CFR part 60, appendix A-2, or ASTM Method D6522-00 (Reapproved </w:t>
            </w:r>
            <w:proofErr w:type="gramStart"/>
            <w:r w:rsidRPr="00FD7CCB">
              <w:rPr>
                <w:szCs w:val="22"/>
              </w:rPr>
              <w:t>2005)</w:t>
            </w:r>
            <w:r w:rsidRPr="00FD7CCB">
              <w:rPr>
                <w:szCs w:val="22"/>
                <w:vertAlign w:val="superscript"/>
              </w:rPr>
              <w:t>a</w:t>
            </w:r>
            <w:proofErr w:type="gramEnd"/>
            <w:r w:rsidRPr="00FD7CCB">
              <w:rPr>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Measurements to determine O</w:t>
            </w:r>
            <w:r w:rsidRPr="00FD7CCB">
              <w:rPr>
                <w:szCs w:val="22"/>
                <w:vertAlign w:val="subscript"/>
              </w:rPr>
              <w:t>2</w:t>
            </w:r>
            <w:r w:rsidRPr="00FD7CCB">
              <w:rPr>
                <w:szCs w:val="22"/>
              </w:rPr>
              <w:t xml:space="preserve"> concentration must be made at the same time and location as the measurements for formaldehyde or CO concentration.</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Method 4 of 40 CFR part 60, appendix A-3, or Method 320 of 40 CFR part 63, appendix A, or ASTM D 6348-03</w:t>
            </w:r>
            <w:r w:rsidRPr="00FD7CCB">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Measurements to determine moisture content must be made at the same time and location as the measurements for formaldehyde or CO concentration.</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Method 320 or 323 of 40 CFR part 63, appendix A; or ASTM D6348-03</w:t>
            </w:r>
            <w:r w:rsidRPr="00FD7CCB">
              <w:rPr>
                <w:szCs w:val="22"/>
                <w:vertAlign w:val="superscript"/>
              </w:rPr>
              <w:t>a</w:t>
            </w:r>
            <w:r w:rsidRPr="00FD7CCB">
              <w:rPr>
                <w:szCs w:val="22"/>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Formaldehyde concentration must be at 15 percent O</w:t>
            </w:r>
            <w:r w:rsidRPr="00FD7CCB">
              <w:rPr>
                <w:szCs w:val="22"/>
                <w:vertAlign w:val="subscript"/>
              </w:rPr>
              <w:t>2</w:t>
            </w:r>
            <w:r w:rsidRPr="00FD7CCB">
              <w:rPr>
                <w:szCs w:val="22"/>
              </w:rPr>
              <w:t>, dry basis. Results of this test consist of the average of the three 1-hour or longer runs.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Method 10 of 40 CFR part 60, appendix A-4, ASTM Method D6522-00 (</w:t>
            </w:r>
            <w:proofErr w:type="gramStart"/>
            <w:r w:rsidRPr="00FD7CCB">
              <w:rPr>
                <w:szCs w:val="22"/>
              </w:rPr>
              <w:t>2005)</w:t>
            </w:r>
            <w:r w:rsidRPr="00FD7CCB">
              <w:rPr>
                <w:szCs w:val="22"/>
                <w:vertAlign w:val="superscript"/>
              </w:rPr>
              <w:t>ac</w:t>
            </w:r>
            <w:proofErr w:type="gramEnd"/>
            <w:r w:rsidRPr="00FD7CCB">
              <w:rPr>
                <w:szCs w:val="22"/>
              </w:rPr>
              <w:t xml:space="preserve">, </w:t>
            </w:r>
            <w:r w:rsidRPr="00FD7CCB">
              <w:rPr>
                <w:szCs w:val="22"/>
              </w:rPr>
              <w:lastRenderedPageBreak/>
              <w:t>Method 320 of 40 CFR part 63, appendix A, or ASTM D6348-03</w:t>
            </w:r>
            <w:r w:rsidRPr="00FD7CCB">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(a) CO concentration must be at 15 percent O</w:t>
            </w:r>
            <w:r w:rsidRPr="00FD7CCB">
              <w:rPr>
                <w:szCs w:val="22"/>
                <w:vertAlign w:val="subscript"/>
              </w:rPr>
              <w:t>2</w:t>
            </w:r>
            <w:r w:rsidRPr="00FD7CCB">
              <w:rPr>
                <w:szCs w:val="22"/>
              </w:rPr>
              <w:t>, dry basis. Results of this test consist of the average of the three 1-hour or longer runs.</w:t>
            </w:r>
          </w:p>
        </w:tc>
      </w:tr>
    </w:tbl>
    <w:p w:rsidR="00FD7CCB" w:rsidRPr="00FD7CCB" w:rsidRDefault="00FD7CCB" w:rsidP="00FD7CCB">
      <w:pPr>
        <w:pStyle w:val="gpotblnote"/>
        <w:rPr>
          <w:sz w:val="22"/>
          <w:szCs w:val="22"/>
        </w:rPr>
      </w:pPr>
      <w:r w:rsidRPr="00FD7CCB">
        <w:rPr>
          <w:sz w:val="22"/>
          <w:szCs w:val="22"/>
          <w:vertAlign w:val="superscript"/>
        </w:rPr>
        <w:t>a</w:t>
      </w:r>
      <w:r w:rsidRPr="00FD7CCB">
        <w:rPr>
          <w:sz w:val="22"/>
          <w:szCs w:val="22"/>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w:t>
      </w:r>
    </w:p>
    <w:p w:rsidR="00FD7CCB" w:rsidRPr="00FD7CCB" w:rsidRDefault="00FD7CCB" w:rsidP="00FD7CCB">
      <w:pPr>
        <w:pStyle w:val="gpotblnote"/>
        <w:rPr>
          <w:sz w:val="22"/>
          <w:szCs w:val="22"/>
        </w:rPr>
      </w:pPr>
      <w:r w:rsidRPr="00FD7CCB">
        <w:rPr>
          <w:sz w:val="22"/>
          <w:szCs w:val="22"/>
          <w:vertAlign w:val="superscript"/>
        </w:rPr>
        <w:t>b</w:t>
      </w:r>
      <w:r w:rsidRPr="00FD7CCB">
        <w:rPr>
          <w:sz w:val="22"/>
          <w:szCs w:val="22"/>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FD7CCB" w:rsidRPr="00FD7CCB" w:rsidRDefault="00FD7CCB" w:rsidP="00FD7CCB">
      <w:pPr>
        <w:pStyle w:val="cita"/>
        <w:rPr>
          <w:sz w:val="22"/>
          <w:szCs w:val="22"/>
        </w:rPr>
      </w:pPr>
      <w:r w:rsidRPr="00FD7CCB">
        <w:rPr>
          <w:sz w:val="22"/>
          <w:szCs w:val="22"/>
        </w:rPr>
        <w:t>[79 FR 11290, Feb. 27, 2014]</w:t>
      </w:r>
    </w:p>
    <w:p w:rsidR="00FD7CCB" w:rsidRPr="00FD7CCB" w:rsidRDefault="00FD7CCB" w:rsidP="00FD7CCB">
      <w:pPr>
        <w:pStyle w:val="Heading2"/>
        <w:rPr>
          <w:rFonts w:ascii="Times New Roman" w:hAnsi="Times New Roman" w:cs="Times New Roman"/>
          <w:sz w:val="22"/>
          <w:szCs w:val="22"/>
        </w:rPr>
      </w:pPr>
      <w:bookmarkStart w:id="94" w:name="ap40.15.63_16675.9"/>
      <w:bookmarkEnd w:id="94"/>
      <w:r w:rsidRPr="00FD7CCB">
        <w:rPr>
          <w:rFonts w:ascii="Times New Roman" w:hAnsi="Times New Roman" w:cs="Times New Roman"/>
          <w:sz w:val="22"/>
          <w:szCs w:val="22"/>
        </w:rPr>
        <w:t xml:space="preserve">Table 5 to Subpart ZZZZ of Part 63—Initial Compliance </w:t>
      </w:r>
      <w:proofErr w:type="gramStart"/>
      <w:r w:rsidRPr="00FD7CCB">
        <w:rPr>
          <w:rFonts w:ascii="Times New Roman" w:hAnsi="Times New Roman" w:cs="Times New Roman"/>
          <w:sz w:val="22"/>
          <w:szCs w:val="22"/>
        </w:rPr>
        <w:t>With</w:t>
      </w:r>
      <w:proofErr w:type="gramEnd"/>
      <w:r w:rsidRPr="00FD7CCB">
        <w:rPr>
          <w:rFonts w:ascii="Times New Roman" w:hAnsi="Times New Roman" w:cs="Times New Roman"/>
          <w:sz w:val="22"/>
          <w:szCs w:val="22"/>
        </w:rPr>
        <w:t xml:space="preserve"> Emission Limitations, Operating Limitations, and Other Requirements</w:t>
      </w:r>
    </w:p>
    <w:p w:rsidR="00FD7CCB" w:rsidRPr="00FD7CCB" w:rsidRDefault="00FD7CCB" w:rsidP="00FD7CCB">
      <w:pPr>
        <w:pStyle w:val="NormalWeb"/>
        <w:rPr>
          <w:sz w:val="22"/>
          <w:szCs w:val="22"/>
        </w:rPr>
      </w:pPr>
      <w:r w:rsidRPr="00FD7CCB">
        <w:rPr>
          <w:sz w:val="22"/>
          <w:szCs w:val="22"/>
        </w:rPr>
        <w:t>As stated in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32"/>
        <w:gridCol w:w="2117"/>
        <w:gridCol w:w="3861"/>
      </w:tblGrid>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For </w:t>
            </w:r>
            <w:proofErr w:type="gramStart"/>
            <w:r w:rsidRPr="00FD7CCB">
              <w:rPr>
                <w:b/>
                <w:bCs/>
                <w:szCs w:val="22"/>
              </w:rPr>
              <w:t>each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Complying with the requirement </w:t>
            </w:r>
            <w:proofErr w:type="gramStart"/>
            <w:r w:rsidRPr="00FD7CCB">
              <w:rPr>
                <w:b/>
                <w:bCs/>
                <w:szCs w:val="22"/>
              </w:rPr>
              <w:t>to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You have demonstrated initial compliance </w:t>
            </w:r>
            <w:proofErr w:type="gramStart"/>
            <w:r w:rsidRPr="00FD7CCB">
              <w:rPr>
                <w:b/>
                <w:bCs/>
                <w:szCs w:val="22"/>
              </w:rPr>
              <w:t>if .</w:t>
            </w:r>
            <w:proofErr w:type="gramEnd"/>
            <w:r w:rsidRPr="00FD7CCB">
              <w:rPr>
                <w:b/>
                <w:bCs/>
                <w:szCs w:val="22"/>
              </w:rPr>
              <w:t>  .  .</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The average reduction of emissions of CO determined from the initial performance test achieves the required CO percent reduction; and</w:t>
            </w:r>
            <w:r w:rsidRPr="00FD7CCB">
              <w:rPr>
                <w:szCs w:val="22"/>
              </w:rPr>
              <w:br/>
              <w:t>ii. You have installed a CPMS to continuously monitor catalyst inlet temperature according to the requirements in §63.6625(b); and</w:t>
            </w:r>
            <w:r w:rsidRPr="00FD7CCB">
              <w:rPr>
                <w:szCs w:val="22"/>
              </w:rPr>
              <w:br/>
              <w:t>iii. You have recorded the catalyst pressure drop and catalyst inlet temperature during the initial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The average CO concentration determined from the initial performance test is less than or equal to the CO emission limitation;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You have installed a CPMS to continuously monitor catalyst inlet temperature according to the requirements in §63.6625(b);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iii. You have recorded the catalyst pressure drop and catalyst inlet temperature during </w:t>
            </w:r>
            <w:r w:rsidRPr="00FD7CCB">
              <w:rPr>
                <w:szCs w:val="22"/>
              </w:rPr>
              <w:lastRenderedPageBreak/>
              <w:t>the initial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The average reduction of emissions of CO determined from the initial performance test achieves the required CO percent reduction; and</w:t>
            </w:r>
            <w:r w:rsidRPr="00FD7CCB">
              <w:rPr>
                <w:szCs w:val="22"/>
              </w:rPr>
              <w:br/>
              <w:t>ii. You have installed a CPMS to continuously monitor operating parameters approved by the Administrator (if any) according to the requirements in §63.6625(b); and</w:t>
            </w:r>
            <w:r w:rsidRPr="00FD7CCB">
              <w:rPr>
                <w:szCs w:val="22"/>
              </w:rPr>
              <w:br/>
              <w:t>iii. You have recorded the approved operating parameters (if any) during the initial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The average CO concentration determined from the initial performance test is less than or equal to the CO emission limitation; and</w:t>
            </w:r>
            <w:r w:rsidRPr="00FD7CCB">
              <w:rPr>
                <w:szCs w:val="22"/>
              </w:rPr>
              <w:br/>
              <w:t>ii. You have installed a CPMS to continuously monitor operating parameters approved by the Administrator (if any) according to the requirements in §63.6625(b);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You have recorded the approved operating parameters (if any) during the initial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You have installed a CEMS to continuously monitor CO and either O</w:t>
            </w:r>
            <w:r w:rsidRPr="00FD7CCB">
              <w:rPr>
                <w:szCs w:val="22"/>
                <w:vertAlign w:val="subscript"/>
              </w:rPr>
              <w:t>2</w:t>
            </w:r>
            <w:r w:rsidRPr="00FD7CCB">
              <w:rPr>
                <w:szCs w:val="22"/>
              </w:rPr>
              <w:t xml:space="preserve"> or CO</w:t>
            </w:r>
            <w:r w:rsidRPr="00FD7CCB">
              <w:rPr>
                <w:szCs w:val="22"/>
                <w:vertAlign w:val="subscript"/>
              </w:rPr>
              <w:t>2</w:t>
            </w:r>
            <w:r w:rsidRPr="00FD7CCB">
              <w:rPr>
                <w:szCs w:val="22"/>
              </w:rPr>
              <w:t xml:space="preserve"> at both the inlet and outlet of the oxidation catalyst according to the requirements in §63.6625(a); and</w:t>
            </w:r>
            <w:r w:rsidRPr="00FD7CCB">
              <w:rPr>
                <w:szCs w:val="22"/>
              </w:rPr>
              <w:br/>
              <w:t>ii. You have conducted a performance evaluation of your CEMS using PS 3 and 4A of 40 CFR part 60, appendix 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6. Non-emergency stationary CI RICE &gt;500 HP located at a major source of HAP, and existing non-emergency stationary CI RICE </w:t>
            </w:r>
            <w:r w:rsidRPr="00FD7CCB">
              <w:rPr>
                <w:szCs w:val="22"/>
              </w:rPr>
              <w:lastRenderedPageBreak/>
              <w:t>&gt;500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You have installed a CEMS to continuously monitor CO and either O</w:t>
            </w:r>
            <w:r w:rsidRPr="00FD7CCB">
              <w:rPr>
                <w:szCs w:val="22"/>
                <w:vertAlign w:val="subscript"/>
              </w:rPr>
              <w:t>2</w:t>
            </w:r>
            <w:r w:rsidRPr="00FD7CCB">
              <w:rPr>
                <w:szCs w:val="22"/>
              </w:rPr>
              <w:t xml:space="preserve"> or CO</w:t>
            </w:r>
            <w:r w:rsidRPr="00FD7CCB">
              <w:rPr>
                <w:szCs w:val="22"/>
                <w:vertAlign w:val="subscript"/>
              </w:rPr>
              <w:t>2</w:t>
            </w:r>
            <w:r w:rsidRPr="00FD7CCB">
              <w:rPr>
                <w:szCs w:val="22"/>
              </w:rPr>
              <w:t xml:space="preserve"> at the outlet of the oxidation catalyst </w:t>
            </w:r>
            <w:r w:rsidRPr="00FD7CCB">
              <w:rPr>
                <w:szCs w:val="22"/>
              </w:rPr>
              <w:lastRenderedPageBreak/>
              <w:t>according to the requirements in §63.6625(a);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You have conducted a performance evaluation of your CEMS using PS 3 and 4A of 40 CFR part 60, appendix 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You have installed a CPMS to continuously monitor catalyst inlet temperature according to the requirements in §63.6625(b);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You have recorded the catalyst pressure drop and catalyst inlet temperature during the initial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You have installed a CPMS to continuously monitor operating parameters approved by the Administrator (if any) according to the requirements in §63.6625(b);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You have recorded the approved operating parameters (if any) during the initial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The average formaldehyde concentration, corrected to 15 percent O</w:t>
            </w:r>
            <w:r w:rsidRPr="00FD7CCB">
              <w:rPr>
                <w:szCs w:val="22"/>
                <w:vertAlign w:val="subscript"/>
              </w:rPr>
              <w:t>2</w:t>
            </w:r>
            <w:r w:rsidRPr="00FD7CCB">
              <w:rPr>
                <w:szCs w:val="22"/>
              </w:rPr>
              <w:t>, dry basis, from the three test runs is less than or equal to the formaldehyde emission limitation; and</w:t>
            </w:r>
            <w:r w:rsidRPr="00FD7CCB">
              <w:rPr>
                <w:szCs w:val="22"/>
              </w:rPr>
              <w:br/>
              <w:t>ii. You have installed a CPMS to continuously monitor catalyst inlet temperature according to the requirements in §63.6625(b);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You have recorded the catalyst pressure drop and catalyst inlet temperature during the initial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The average formaldehyde concentration, corrected to 15 percent O</w:t>
            </w:r>
            <w:r w:rsidRPr="00FD7CCB">
              <w:rPr>
                <w:szCs w:val="22"/>
                <w:vertAlign w:val="subscript"/>
              </w:rPr>
              <w:t>2</w:t>
            </w:r>
            <w:r w:rsidRPr="00FD7CCB">
              <w:rPr>
                <w:szCs w:val="22"/>
              </w:rPr>
              <w:t>, dry basis, from the three test runs is less than or equal to the formaldehyde emission limitation; and</w:t>
            </w:r>
            <w:r w:rsidRPr="00FD7CCB">
              <w:rPr>
                <w:szCs w:val="22"/>
              </w:rPr>
              <w:br/>
              <w:t>ii. You have installed a CPMS to continuously monitor operating parameters approved by the Administrator (if any) according to the requirements in §63.6625(b);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You have recorded the approved operating parameters (if any) during the initial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The average reduction of emissions of CO or formaldehyde, as applicable determined from the initial performance test is equal to or greater than the required CO or formaldehyde, as applicable, percent reduction.</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The average formaldehyde or CO concentration, as applicable, corrected to 15 percent O</w:t>
            </w:r>
            <w:r w:rsidRPr="00FD7CCB">
              <w:rPr>
                <w:szCs w:val="22"/>
                <w:vertAlign w:val="subscript"/>
              </w:rPr>
              <w:t>2</w:t>
            </w:r>
            <w:r w:rsidRPr="00FD7CCB">
              <w:rPr>
                <w:szCs w:val="22"/>
              </w:rPr>
              <w:t>, dry basis, from the three test runs is less than or equal to the formaldehyde or CO emission limitation, as applicable.</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You have conducted an initial compliance demonstration as specified in §63.6630(e) to show that the average reduction of emissions of CO is 93 percent or more, or the average CO concentration is less than or equal to 47 ppmvd at 15 percent O</w:t>
            </w:r>
            <w:r w:rsidRPr="00FD7CCB">
              <w:rPr>
                <w:szCs w:val="22"/>
                <w:vertAlign w:val="subscript"/>
              </w:rPr>
              <w:t>2</w:t>
            </w:r>
            <w:r w:rsidRPr="00FD7CCB">
              <w:rPr>
                <w:szCs w:val="22"/>
              </w:rPr>
              <w: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You have installed a CPMS to continuously monitor catalyst inlet temperature according to the requirements in §63.6625(b), or you have installed equipment to automatically shut down the engine if the catalyst inlet temperature exceeds 1350 °F.</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You have conducted an initial compliance demonstration as specified in §63.6630(e) to show that the average reduction of emissions of CO is 75 percent or more, the average CO concentration is less than or equal to 270 ppmvd at 15 percent O</w:t>
            </w:r>
            <w:r w:rsidRPr="00FD7CCB">
              <w:rPr>
                <w:szCs w:val="22"/>
                <w:vertAlign w:val="subscript"/>
              </w:rPr>
              <w:t>2</w:t>
            </w:r>
            <w:r w:rsidRPr="00FD7CCB">
              <w:rPr>
                <w:szCs w:val="22"/>
              </w:rPr>
              <w:t>, or the average reduction of emissions of THC is 30 percent or more;</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You have installed a CPMS to continuously monitor catalyst inlet temperature according to the requirements in §63.6625(b), or you have installed equipment to automatically shut down the engine if the catalyst inlet temperature exceeds 1250 °F.</w:t>
            </w:r>
          </w:p>
        </w:tc>
      </w:tr>
    </w:tbl>
    <w:p w:rsidR="00FD7CCB" w:rsidRPr="00FD7CCB" w:rsidRDefault="00FD7CCB" w:rsidP="00FD7CCB">
      <w:pPr>
        <w:pStyle w:val="cita"/>
        <w:rPr>
          <w:sz w:val="22"/>
          <w:szCs w:val="22"/>
        </w:rPr>
      </w:pPr>
      <w:r w:rsidRPr="00FD7CCB">
        <w:rPr>
          <w:sz w:val="22"/>
          <w:szCs w:val="22"/>
        </w:rPr>
        <w:t>[78 FR 6712, Jan. 30, 2013]</w:t>
      </w:r>
    </w:p>
    <w:p w:rsidR="00FD7CCB" w:rsidRPr="00FD7CCB" w:rsidRDefault="00FD7CCB" w:rsidP="00FD7CCB">
      <w:pPr>
        <w:pStyle w:val="Heading2"/>
        <w:rPr>
          <w:rFonts w:ascii="Times New Roman" w:hAnsi="Times New Roman" w:cs="Times New Roman"/>
          <w:sz w:val="22"/>
          <w:szCs w:val="22"/>
        </w:rPr>
      </w:pPr>
      <w:bookmarkStart w:id="95" w:name="ap40.15.63_16675.10"/>
      <w:bookmarkEnd w:id="95"/>
      <w:r w:rsidRPr="00FD7CCB">
        <w:rPr>
          <w:rFonts w:ascii="Times New Roman" w:hAnsi="Times New Roman" w:cs="Times New Roman"/>
          <w:sz w:val="22"/>
          <w:szCs w:val="22"/>
        </w:rPr>
        <w:t xml:space="preserve">Table 6 to Subpart ZZZZ of Part 63—Continuous Compliance </w:t>
      </w:r>
      <w:proofErr w:type="gramStart"/>
      <w:r w:rsidRPr="00FD7CCB">
        <w:rPr>
          <w:rFonts w:ascii="Times New Roman" w:hAnsi="Times New Roman" w:cs="Times New Roman"/>
          <w:sz w:val="22"/>
          <w:szCs w:val="22"/>
        </w:rPr>
        <w:t>With</w:t>
      </w:r>
      <w:proofErr w:type="gramEnd"/>
      <w:r w:rsidRPr="00FD7CCB">
        <w:rPr>
          <w:rFonts w:ascii="Times New Roman" w:hAnsi="Times New Roman" w:cs="Times New Roman"/>
          <w:sz w:val="22"/>
          <w:szCs w:val="22"/>
        </w:rPr>
        <w:t xml:space="preserve"> Emission Limitations, and Other Requirements</w:t>
      </w:r>
    </w:p>
    <w:p w:rsidR="00FD7CCB" w:rsidRPr="00FD7CCB" w:rsidRDefault="00FD7CCB" w:rsidP="00FD7CCB">
      <w:pPr>
        <w:pStyle w:val="NormalWeb"/>
        <w:rPr>
          <w:sz w:val="22"/>
          <w:szCs w:val="22"/>
        </w:rPr>
      </w:pPr>
      <w:r w:rsidRPr="00FD7CCB">
        <w:rPr>
          <w:sz w:val="22"/>
          <w:szCs w:val="22"/>
        </w:rPr>
        <w:t>As stated in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076"/>
        <w:gridCol w:w="2166"/>
        <w:gridCol w:w="3868"/>
      </w:tblGrid>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For </w:t>
            </w:r>
            <w:proofErr w:type="gramStart"/>
            <w:r w:rsidRPr="00FD7CCB">
              <w:rPr>
                <w:b/>
                <w:bCs/>
                <w:szCs w:val="22"/>
              </w:rPr>
              <w:t>each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Complying with the requirement </w:t>
            </w:r>
            <w:proofErr w:type="gramStart"/>
            <w:r w:rsidRPr="00FD7CCB">
              <w:rPr>
                <w:b/>
                <w:bCs/>
                <w:szCs w:val="22"/>
              </w:rPr>
              <w:t>to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You must demonstrate continuous compliance </w:t>
            </w:r>
            <w:proofErr w:type="gramStart"/>
            <w:r w:rsidRPr="00FD7CCB">
              <w:rPr>
                <w:b/>
                <w:bCs/>
                <w:szCs w:val="22"/>
              </w:rPr>
              <w:t>by .</w:t>
            </w:r>
            <w:proofErr w:type="gramEnd"/>
            <w:r w:rsidRPr="00FD7CCB">
              <w:rPr>
                <w:b/>
                <w:bCs/>
                <w:szCs w:val="22"/>
              </w:rPr>
              <w:t>  .  .</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Conducting semiannual performance tests for CO to demonstrate that the required CO percent reduction is achieved</w:t>
            </w:r>
            <w:r w:rsidRPr="00FD7CCB">
              <w:rPr>
                <w:szCs w:val="22"/>
                <w:vertAlign w:val="superscript"/>
              </w:rPr>
              <w:t>a</w:t>
            </w:r>
            <w:r w:rsidRPr="00FD7CCB">
              <w:rPr>
                <w:szCs w:val="22"/>
              </w:rPr>
              <w:t>; and</w:t>
            </w:r>
            <w:r w:rsidRPr="00FD7CCB">
              <w:rPr>
                <w:szCs w:val="22"/>
              </w:rPr>
              <w:br/>
              <w:t>ii. Collecting the catalyst inlet temperature data according to §63.6625(b); and</w:t>
            </w:r>
            <w:r w:rsidRPr="00FD7CCB">
              <w:rPr>
                <w:szCs w:val="22"/>
              </w:rPr>
              <w:br/>
              <w:t>iii. Reducing these data to 4-hour rolling averages;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iv. Maintaining the 4-hour rolling averages within the operating limitations for the catalyst inlet temperature;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v. Measuring the pressure drop across the </w:t>
            </w:r>
            <w:r w:rsidRPr="00FD7CCB">
              <w:rPr>
                <w:szCs w:val="22"/>
              </w:rPr>
              <w:lastRenderedPageBreak/>
              <w:t>catalyst once per month and demonstrating that the pressure drop across the catalyst is within the operating limitation established during the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Conducting semiannual performance tests for CO to demonstrate that the required CO percent reduction is achieved</w:t>
            </w:r>
            <w:r w:rsidRPr="00FD7CCB">
              <w:rPr>
                <w:szCs w:val="22"/>
                <w:vertAlign w:val="superscript"/>
              </w:rPr>
              <w:t>a</w:t>
            </w:r>
            <w:r w:rsidRPr="00FD7CCB">
              <w:rPr>
                <w:szCs w:val="22"/>
              </w:rPr>
              <w:t>; and</w:t>
            </w:r>
            <w:r w:rsidRPr="00FD7CCB">
              <w:rPr>
                <w:szCs w:val="22"/>
              </w:rPr>
              <w:br/>
              <w:t>ii. Collecting the approved operating parameter (if any) data according to §63.6625(b); and</w:t>
            </w:r>
            <w:r w:rsidRPr="00FD7CCB">
              <w:rPr>
                <w:szCs w:val="22"/>
              </w:rPr>
              <w:br/>
              <w:t>iii. Reducing these data to 4-hour rolling averages;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iv. Maintaining the 4-hour rolling averages within the operating limitations for the operating parameters established during the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Collecting the monitoring data according to §63.6625(a), reducing the measurements to 1-hour averages, calculating the percent reduction or concentration of CO emissions according to §63.6620; and</w:t>
            </w:r>
            <w:r w:rsidRPr="00FD7CCB">
              <w:rPr>
                <w:szCs w:val="22"/>
              </w:rPr>
              <w:br/>
              <w:t xml:space="preserve">ii. Demonstrating that the catalyst achieves the required percent reduction of CO emissions over the 4-hour averaging period, or that the emission </w:t>
            </w:r>
            <w:proofErr w:type="gramStart"/>
            <w:r w:rsidRPr="00FD7CCB">
              <w:rPr>
                <w:szCs w:val="22"/>
              </w:rPr>
              <w:t>remain</w:t>
            </w:r>
            <w:proofErr w:type="gramEnd"/>
            <w:r w:rsidRPr="00FD7CCB">
              <w:rPr>
                <w:szCs w:val="22"/>
              </w:rPr>
              <w:t xml:space="preserve"> at or below the CO concentration limit;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Conducting an annual RATA of your CEMS using PS 3 and 4A of 40 CFR part 60, appendix B, as well as daily and periodic data quality checks in accordance with 40 CFR part 60, appendix F, procedure 1.</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Collecting the catalyst inlet temperature data according to §63.6625(b);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Reducing these data to 4-hour rolling averages;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Maintaining the 4-hour rolling averages within the operating limitations for the catalyst inlet temperature;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iv. Measuring the pressure drop across the catalyst once per month and demonstrating </w:t>
            </w:r>
            <w:r w:rsidRPr="00FD7CCB">
              <w:rPr>
                <w:szCs w:val="22"/>
              </w:rPr>
              <w:lastRenderedPageBreak/>
              <w:t>that the pressure drop across the catalyst is within the operating limitation established during the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Collecting the approved operating parameter (if any) data according to §63.6625(b);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Reducing these data to 4-hour rolling averages;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Maintaining the 4-hour rolling averages within the operating limitations for the operating parameters established during the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Conducting semiannual performance tests for formaldehyde to demonstrate that the required formaldehyde percent reduction is achieved, or to demonstrate that the average reduction of emissions of THC determined from the performance test is equal to or greater than 30 </w:t>
            </w:r>
            <w:proofErr w:type="gramStart"/>
            <w:r w:rsidRPr="00FD7CCB">
              <w:rPr>
                <w:szCs w:val="22"/>
              </w:rPr>
              <w:t>percent.</w:t>
            </w:r>
            <w:r w:rsidRPr="00FD7CCB">
              <w:rPr>
                <w:szCs w:val="22"/>
                <w:vertAlign w:val="superscript"/>
              </w:rPr>
              <w:t>a</w:t>
            </w:r>
            <w:proofErr w:type="gramEnd"/>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Conducting semiannual performance tests for formaldehyde to demonstrate that your emissions remain at or below the formaldehyde concentration limit</w:t>
            </w:r>
            <w:r w:rsidRPr="00FD7CCB">
              <w:rPr>
                <w:szCs w:val="22"/>
                <w:vertAlign w:val="superscript"/>
              </w:rPr>
              <w:t>a</w:t>
            </w:r>
            <w:r w:rsidRPr="00FD7CCB">
              <w:rPr>
                <w:szCs w:val="22"/>
              </w:rPr>
              <w:t>; and</w:t>
            </w:r>
            <w:r w:rsidRPr="00FD7CCB">
              <w:rPr>
                <w:szCs w:val="22"/>
              </w:rPr>
              <w:br/>
              <w:t>ii. Collecting the catalyst inlet temperature data according to §63.6625(b);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Reducing these data to 4-hour rolling averages;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iv. Maintaining the 4-hour rolling averages within the operating limitations for the catalyst inlet temperature;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v. Measuring the pressure drop across the catalyst once per month and demonstrating that the pressure drop across the catalyst is within the operating limitation established during the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a. Limit the concentration of formaldehyde in the stationary RICE exhaust and not using oxidation catalyst or </w:t>
            </w:r>
            <w:r w:rsidRPr="00FD7CCB">
              <w:rPr>
                <w:szCs w:val="22"/>
              </w:rPr>
              <w:lastRenderedPageBreak/>
              <w:t>NSCR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i. Conducting semiannual performance tests for formaldehyde to demonstrate that your emissions remain at or below the formaldehyde concentration limit</w:t>
            </w:r>
            <w:r w:rsidRPr="00FD7CCB">
              <w:rPr>
                <w:szCs w:val="22"/>
                <w:vertAlign w:val="superscript"/>
              </w:rPr>
              <w:t>a</w:t>
            </w:r>
            <w:r w:rsidRPr="00FD7CCB">
              <w:rPr>
                <w:szCs w:val="22"/>
              </w:rPr>
              <w:t>; and</w:t>
            </w:r>
            <w:r w:rsidRPr="00FD7CCB">
              <w:rPr>
                <w:szCs w:val="22"/>
              </w:rPr>
              <w:br/>
              <w:t xml:space="preserve">ii. Collecting the approved operating parameter (if any) data according to </w:t>
            </w:r>
            <w:r w:rsidRPr="00FD7CCB">
              <w:rPr>
                <w:szCs w:val="22"/>
              </w:rPr>
              <w:lastRenderedPageBreak/>
              <w:t>§63.6625(b);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Reducing these data to 4-hour rolling averages;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iv. Maintaining the 4-hour rolling averages within the operating limitations for the operating parameters established during the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Operating and maintaining the stationary RICE according to the manufacturer's emission-related operation and maintenance instructions; or</w:t>
            </w:r>
            <w:r w:rsidRPr="00FD7CCB">
              <w:rPr>
                <w:szCs w:val="22"/>
              </w:rPr>
              <w:br/>
              <w:t>ii. Develop and follow your own maintenance plan which must provide to the extent practicable for the maintenance and operation of the engine in a manner consistent with good air pollution control practice for minimizing emissions.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Collecting the catalyst inlet temperature data according to §63.6625(b);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Reducing these data to 4-hour rolling averages;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iv. Maintaining the 4-hour rolling averages within the operating limitations for the catalyst inlet temperature;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v. Measuring the pressure drop across the catalyst once per month and demonstrating that the pressure drop across the catalyst is within the operating limitation established during the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Collecting the approved operating parameter (if any) data according to §63.6625(b);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Reducing these data to 4-hour rolling averages;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iv. Maintaining the 4-hour rolling averages within the operating limitations for the operating parameters established during the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Collecting the catalyst inlet temperature data according to §63.6625(b);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Reducing these data to 4-hour rolling averages;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iv. Maintaining the 4-hour rolling averages within the operating limitations for the catalyst inlet temperature;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v. Measuring the pressure drop across the </w:t>
            </w:r>
            <w:r w:rsidRPr="00FD7CCB">
              <w:rPr>
                <w:szCs w:val="22"/>
              </w:rPr>
              <w:lastRenderedPageBreak/>
              <w:t>catalyst once per month and demonstrating that the pressure drop across the catalyst is within the operating limitation established during the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 Collecting the approved operating parameter (if any) data according to §63.6625(b);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iii. Reducing these data to 4-hour rolling averages; and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iv. Maintaining the 4-hour rolling averages within the operating limitations for the operating parameters established during the performance test.</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Conducting annual compliance demonstrations as specified in §63.6640(c) to show that the average reduction of emissions of CO is 93 percent or more, or the average CO concentration is less than or equal to 47 ppmvd at 15 percent O</w:t>
            </w:r>
            <w:r w:rsidRPr="00FD7CCB">
              <w:rPr>
                <w:szCs w:val="22"/>
                <w:vertAlign w:val="subscript"/>
              </w:rPr>
              <w:t>2</w:t>
            </w:r>
            <w:r w:rsidRPr="00FD7CCB">
              <w:rPr>
                <w:szCs w:val="22"/>
              </w:rPr>
              <w:t>; and either</w:t>
            </w:r>
            <w:r w:rsidRPr="00FD7CCB">
              <w:rPr>
                <w:szCs w:val="22"/>
              </w:rPr>
              <w:br/>
              <w:t>ii. Collecting the catalyst inlet temperature data according to §63.6625(b), reducing these data to 4-hour rolling averages; and maintaining the 4-hour rolling averages within the limitation of greater than 450 °F and less than or equal to 1350 °F for the catalyst inlet temperature; or</w:t>
            </w:r>
            <w:r w:rsidRPr="00FD7CCB">
              <w:rPr>
                <w:szCs w:val="22"/>
              </w:rPr>
              <w:br/>
              <w:t>iii. Immediately shutting down the engine if the catalyst inlet temperature exceeds 1350 °F.</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Conducting annual compliance demonstrations as specified in §63.6640(c) to show that the average reduction of emissions of CO is 75 percent or more, the average CO concentration is less than or equal to 270 ppmvd at 15 percent O</w:t>
            </w:r>
            <w:r w:rsidRPr="00FD7CCB">
              <w:rPr>
                <w:szCs w:val="22"/>
                <w:vertAlign w:val="subscript"/>
              </w:rPr>
              <w:t>2</w:t>
            </w:r>
            <w:r w:rsidRPr="00FD7CCB">
              <w:rPr>
                <w:szCs w:val="22"/>
              </w:rPr>
              <w:t xml:space="preserve">, or </w:t>
            </w:r>
            <w:r w:rsidRPr="00FD7CCB">
              <w:rPr>
                <w:szCs w:val="22"/>
              </w:rPr>
              <w:lastRenderedPageBreak/>
              <w:t>the average reduction of emissions of THC is 30 percent or more; and either</w:t>
            </w:r>
            <w:r w:rsidRPr="00FD7CCB">
              <w:rPr>
                <w:szCs w:val="22"/>
              </w:rPr>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FD7CCB">
              <w:rPr>
                <w:szCs w:val="22"/>
              </w:rPr>
              <w:br/>
              <w:t>iii. Immediately shutting down the engine if the catalyst inlet temperature exceeds 1250 °F.</w:t>
            </w:r>
          </w:p>
        </w:tc>
      </w:tr>
    </w:tbl>
    <w:p w:rsidR="00FD7CCB" w:rsidRPr="00FD7CCB" w:rsidRDefault="00FD7CCB" w:rsidP="00FD7CCB">
      <w:pPr>
        <w:pStyle w:val="gpotblnote"/>
        <w:rPr>
          <w:sz w:val="22"/>
          <w:szCs w:val="22"/>
        </w:rPr>
      </w:pPr>
      <w:r w:rsidRPr="00FD7CCB">
        <w:rPr>
          <w:sz w:val="22"/>
          <w:szCs w:val="22"/>
          <w:vertAlign w:val="superscript"/>
        </w:rPr>
        <w:lastRenderedPageBreak/>
        <w:t>a</w:t>
      </w:r>
      <w:r w:rsidRPr="00FD7CCB">
        <w:rPr>
          <w:sz w:val="22"/>
          <w:szCs w:val="22"/>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FD7CCB" w:rsidRPr="00FD7CCB" w:rsidRDefault="00FD7CCB" w:rsidP="00FD7CCB">
      <w:pPr>
        <w:pStyle w:val="cita"/>
        <w:rPr>
          <w:sz w:val="22"/>
          <w:szCs w:val="22"/>
        </w:rPr>
      </w:pPr>
      <w:r w:rsidRPr="00FD7CCB">
        <w:rPr>
          <w:sz w:val="22"/>
          <w:szCs w:val="22"/>
        </w:rPr>
        <w:t>[78 FR 6715, Jan. 30, 2013]</w:t>
      </w:r>
    </w:p>
    <w:p w:rsidR="00FD7CCB" w:rsidRPr="00FD7CCB" w:rsidRDefault="00FD7CCB" w:rsidP="00FD7CCB">
      <w:pPr>
        <w:pStyle w:val="Heading2"/>
        <w:rPr>
          <w:rFonts w:ascii="Times New Roman" w:hAnsi="Times New Roman" w:cs="Times New Roman"/>
          <w:sz w:val="22"/>
          <w:szCs w:val="22"/>
        </w:rPr>
      </w:pPr>
      <w:bookmarkStart w:id="96" w:name="ap40.15.63_16675.11"/>
      <w:bookmarkEnd w:id="96"/>
      <w:r w:rsidRPr="00FD7CCB">
        <w:rPr>
          <w:rFonts w:ascii="Times New Roman" w:hAnsi="Times New Roman" w:cs="Times New Roman"/>
          <w:sz w:val="22"/>
          <w:szCs w:val="22"/>
        </w:rPr>
        <w:t>Table 7 to Subpart ZZZZ of Part 63—Requirements for Reports</w:t>
      </w:r>
    </w:p>
    <w:p w:rsidR="00FD7CCB" w:rsidRPr="00FD7CCB" w:rsidRDefault="00FD7CCB" w:rsidP="00FD7CCB">
      <w:pPr>
        <w:pStyle w:val="NormalWeb"/>
        <w:rPr>
          <w:sz w:val="22"/>
          <w:szCs w:val="22"/>
        </w:rPr>
      </w:pPr>
      <w:r w:rsidRPr="00FD7CCB">
        <w:rPr>
          <w:sz w:val="22"/>
          <w:szCs w:val="22"/>
        </w:rPr>
        <w:t>As stated in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36"/>
        <w:gridCol w:w="1164"/>
        <w:gridCol w:w="3257"/>
        <w:gridCol w:w="2253"/>
      </w:tblGrid>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For </w:t>
            </w:r>
            <w:proofErr w:type="gramStart"/>
            <w:r w:rsidRPr="00FD7CCB">
              <w:rPr>
                <w:b/>
                <w:bCs/>
                <w:szCs w:val="22"/>
              </w:rPr>
              <w:t>each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You must submit </w:t>
            </w:r>
            <w:proofErr w:type="gramStart"/>
            <w:r w:rsidRPr="00FD7CCB">
              <w:rPr>
                <w:b/>
                <w:bCs/>
                <w:szCs w:val="22"/>
              </w:rPr>
              <w:t>a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The report must </w:t>
            </w:r>
            <w:proofErr w:type="gramStart"/>
            <w:r w:rsidRPr="00FD7CCB">
              <w:rPr>
                <w:b/>
                <w:bCs/>
                <w:szCs w:val="22"/>
              </w:rPr>
              <w:t>contain .</w:t>
            </w:r>
            <w:proofErr w:type="gramEnd"/>
            <w:r w:rsidRPr="00FD7CCB">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 xml:space="preserve">You must submit the </w:t>
            </w:r>
            <w:proofErr w:type="gramStart"/>
            <w:r w:rsidRPr="00FD7CCB">
              <w:rPr>
                <w:b/>
                <w:bCs/>
                <w:szCs w:val="22"/>
              </w:rPr>
              <w:t>report .</w:t>
            </w:r>
            <w:proofErr w:type="gramEnd"/>
            <w:r w:rsidRPr="00FD7CCB">
              <w:rPr>
                <w:b/>
                <w:bCs/>
                <w:szCs w:val="22"/>
              </w:rPr>
              <w:t>  .  .</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Semiannually according to the requirements in §63.6650(b)(</w:t>
            </w:r>
            <w:proofErr w:type="gramStart"/>
            <w:r w:rsidRPr="00FD7CCB">
              <w:rPr>
                <w:szCs w:val="22"/>
              </w:rPr>
              <w:t>1)-(</w:t>
            </w:r>
            <w:proofErr w:type="gramEnd"/>
            <w:r w:rsidRPr="00FD7CCB">
              <w:rPr>
                <w:szCs w:val="22"/>
              </w:rPr>
              <w:t>5) for engines that are not limited use stationary RICE subject to numerical emission limitations; and</w:t>
            </w:r>
            <w:r w:rsidRPr="00FD7CCB">
              <w:rPr>
                <w:szCs w:val="22"/>
              </w:rPr>
              <w:br/>
              <w:t>ii. Annually according to the requirements in §63.6650(b)(</w:t>
            </w:r>
            <w:proofErr w:type="gramStart"/>
            <w:r w:rsidRPr="00FD7CCB">
              <w:rPr>
                <w:szCs w:val="22"/>
              </w:rPr>
              <w:t>6)-(</w:t>
            </w:r>
            <w:proofErr w:type="gramEnd"/>
            <w:r w:rsidRPr="00FD7CCB">
              <w:rPr>
                <w:szCs w:val="22"/>
              </w:rPr>
              <w:t>9) for engines that are limited use stationary RICE subject to numerical emission limitations.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Semiannually according to the requirements in §63.6650(b).</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 If you had a malfunction during the reporting period, the information in §63.6650(c)(4).</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Semiannually according to the requirements in §63.6650(b).</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Report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Annually, according to the requirements in §63.6650.</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i. See item </w:t>
            </w:r>
            <w:proofErr w:type="gramStart"/>
            <w:r w:rsidRPr="00FD7CCB">
              <w:rPr>
                <w:szCs w:val="22"/>
              </w:rPr>
              <w:t>2.a.i.</w:t>
            </w:r>
            <w:proofErr w:type="gramEnd"/>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i. See item </w:t>
            </w:r>
            <w:proofErr w:type="gramStart"/>
            <w:r w:rsidRPr="00FD7CCB">
              <w:rPr>
                <w:szCs w:val="22"/>
              </w:rPr>
              <w:t>2.a.i.</w:t>
            </w:r>
            <w:proofErr w:type="gramEnd"/>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Semiannually according to the requirements in §63.6650(b)(</w:t>
            </w:r>
            <w:proofErr w:type="gramStart"/>
            <w:r w:rsidRPr="00FD7CCB">
              <w:rPr>
                <w:szCs w:val="22"/>
              </w:rPr>
              <w:t>1)-(</w:t>
            </w:r>
            <w:proofErr w:type="gramEnd"/>
            <w:r w:rsidRPr="00FD7CCB">
              <w:rPr>
                <w:szCs w:val="22"/>
              </w:rPr>
              <w:t>5).</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4. Emergency stationary RICE that operate or are contractually obligated to be available for more than 15 hours per year for the purposes specified in §63.6640(f)(2)(ii) and (iii) or that operate for the purposes specified in §63.6640(f)(4)(ii)</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Report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 The information in §63.6650(h)(1)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 annually according to the requirements in §63.6650(h)(</w:t>
            </w:r>
            <w:proofErr w:type="gramStart"/>
            <w:r w:rsidRPr="00FD7CCB">
              <w:rPr>
                <w:szCs w:val="22"/>
              </w:rPr>
              <w:t>2)-(</w:t>
            </w:r>
            <w:proofErr w:type="gramEnd"/>
            <w:r w:rsidRPr="00FD7CCB">
              <w:rPr>
                <w:szCs w:val="22"/>
              </w:rPr>
              <w:t>3).</w:t>
            </w:r>
          </w:p>
        </w:tc>
      </w:tr>
    </w:tbl>
    <w:p w:rsidR="00FD7CCB" w:rsidRPr="00FD7CCB" w:rsidRDefault="00FD7CCB" w:rsidP="00FD7CCB">
      <w:pPr>
        <w:pStyle w:val="cita"/>
        <w:rPr>
          <w:sz w:val="22"/>
          <w:szCs w:val="22"/>
        </w:rPr>
      </w:pPr>
      <w:r w:rsidRPr="00FD7CCB">
        <w:rPr>
          <w:sz w:val="22"/>
          <w:szCs w:val="22"/>
        </w:rPr>
        <w:t>[78 FR 6719, Jan. 30, 2013]</w:t>
      </w:r>
    </w:p>
    <w:p w:rsidR="00FD7CCB" w:rsidRPr="00FD7CCB" w:rsidRDefault="00FD7CCB" w:rsidP="00FD7CCB">
      <w:pPr>
        <w:pStyle w:val="Heading2"/>
        <w:rPr>
          <w:rFonts w:ascii="Times New Roman" w:hAnsi="Times New Roman" w:cs="Times New Roman"/>
          <w:sz w:val="22"/>
          <w:szCs w:val="22"/>
        </w:rPr>
      </w:pPr>
      <w:bookmarkStart w:id="97" w:name="ap40.15.63_16675.12"/>
      <w:bookmarkEnd w:id="97"/>
      <w:r w:rsidRPr="00FD7CCB">
        <w:rPr>
          <w:rFonts w:ascii="Times New Roman" w:hAnsi="Times New Roman" w:cs="Times New Roman"/>
          <w:sz w:val="22"/>
          <w:szCs w:val="22"/>
        </w:rPr>
        <w:lastRenderedPageBreak/>
        <w:t>Table 8 to Subpart ZZZZ of Part 63—Applicability of General Provisions to Subpart ZZZZ.</w:t>
      </w:r>
    </w:p>
    <w:p w:rsidR="00FD7CCB" w:rsidRPr="00FD7CCB" w:rsidRDefault="00FD7CCB" w:rsidP="00FD7CCB">
      <w:pPr>
        <w:pStyle w:val="NormalWeb"/>
        <w:rPr>
          <w:sz w:val="22"/>
          <w:szCs w:val="22"/>
        </w:rPr>
      </w:pPr>
      <w:r w:rsidRPr="00FD7CCB">
        <w:rPr>
          <w:sz w:val="22"/>
          <w:szCs w:val="22"/>
        </w:rPr>
        <w:t>As stated in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72"/>
        <w:gridCol w:w="3149"/>
        <w:gridCol w:w="1741"/>
        <w:gridCol w:w="3448"/>
      </w:tblGrid>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Explanation</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Additional terms defined in §63.6675.</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§63.4</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§63.5</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§63.6(a)</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§63.6(b)(</w:t>
            </w:r>
            <w:proofErr w:type="gramStart"/>
            <w:r w:rsidRPr="00FD7CCB">
              <w:rPr>
                <w:szCs w:val="22"/>
              </w:rPr>
              <w:t>1)-(</w:t>
            </w:r>
            <w:proofErr w:type="gramEnd"/>
            <w:r w:rsidRPr="00FD7CCB">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§63.6(b)(5)</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§63.6(b)(6)</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§63.6(b)(7)</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§63.6(c)(</w:t>
            </w:r>
            <w:proofErr w:type="gramStart"/>
            <w:r w:rsidRPr="00FD7CCB">
              <w:rPr>
                <w:szCs w:val="22"/>
              </w:rPr>
              <w:t>1)-(</w:t>
            </w:r>
            <w:proofErr w:type="gramEnd"/>
            <w:r w:rsidRPr="00FD7CCB">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§63.6(c)(</w:t>
            </w:r>
            <w:proofErr w:type="gramStart"/>
            <w:r w:rsidRPr="00FD7CCB">
              <w:rPr>
                <w:szCs w:val="22"/>
              </w:rPr>
              <w:t>3)-(</w:t>
            </w:r>
            <w:proofErr w:type="gramEnd"/>
            <w:r w:rsidRPr="00FD7CCB">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§63.6(c)(5)</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§63.6(f)(1)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§63.6(f)(2)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§63.6(f)(3)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§63.6(g)(</w:t>
            </w:r>
            <w:proofErr w:type="gramStart"/>
            <w:r w:rsidRPr="00FD7CCB">
              <w:rPr>
                <w:szCs w:val="22"/>
              </w:rPr>
              <w:t>1)-(</w:t>
            </w:r>
            <w:proofErr w:type="gramEnd"/>
            <w:r w:rsidRPr="00FD7CCB">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§63.6(h)</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Subpart ZZZZ does not contain opacity or visible emission standards.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§63.6(i)</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Compliance extension procedures </w:t>
            </w:r>
            <w:r w:rsidRPr="00FD7CCB">
              <w:rPr>
                <w:szCs w:val="22"/>
              </w:rPr>
              <w:lastRenderedPageBreak/>
              <w:t>and criteria</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§63.6(j)</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§63.7(a)(</w:t>
            </w:r>
            <w:proofErr w:type="gramStart"/>
            <w:r w:rsidRPr="00FD7CCB">
              <w:rPr>
                <w:szCs w:val="22"/>
              </w:rPr>
              <w:t>1)-(</w:t>
            </w:r>
            <w:proofErr w:type="gramEnd"/>
            <w:r w:rsidRPr="00FD7CCB">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Subpart ZZZZ contains performance test dates at §§63.6610, 63.6611, and 63.6612.</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§63.7(a)(3)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§63.7(b)(1)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§63.7(b)(1) only applies as specified in §63.6645.</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§63.7(b)(2)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§63.7(b)(2) only applies as specified in §63.6645.</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§63.7(c)</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§63.7(c) only applies as specified in §63.6645.</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§63.7(d)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§63.7(e)(1)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Subpart ZZZZ specifies conditions for conducting performance tests at §63.6620.</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§63.7(e)(2)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Subpart ZZZZ specifies test methods at §63.6620.</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§63.7(e)(3)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§63.7(e)(4)</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§63.7(f)</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§63.7(g)</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§63.7(h)</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§63.8(a)(1)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Subpart ZZZZ contains specific requirements for monitoring at §63.6625.</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§63.8(a)(2)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§63.8(a)(3)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§63.8(a)(4)</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§63.8(b)(1)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§63.8(b)(</w:t>
            </w:r>
            <w:proofErr w:type="gramStart"/>
            <w:r w:rsidRPr="00FD7CCB">
              <w:rPr>
                <w:szCs w:val="22"/>
              </w:rPr>
              <w:t>2)-(</w:t>
            </w:r>
            <w:proofErr w:type="gramEnd"/>
            <w:r w:rsidRPr="00FD7CCB">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§63.8(c)(1)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Monitoring system operation and </w:t>
            </w:r>
            <w:r w:rsidRPr="00FD7CCB">
              <w:rPr>
                <w:szCs w:val="22"/>
              </w:rPr>
              <w:lastRenderedPageBreak/>
              <w:t>maintenance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§63.8(c)(1)(i)</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§63.8(c)(</w:t>
            </w:r>
            <w:proofErr w:type="gramStart"/>
            <w:r w:rsidRPr="00FD7CCB">
              <w:rPr>
                <w:szCs w:val="22"/>
              </w:rPr>
              <w:t>2)-(</w:t>
            </w:r>
            <w:proofErr w:type="gramEnd"/>
            <w:r w:rsidRPr="00FD7CCB">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§63.8(c)(4)</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Except that </w:t>
            </w:r>
            <w:proofErr w:type="gramStart"/>
            <w:r w:rsidRPr="00FD7CCB">
              <w:rPr>
                <w:szCs w:val="22"/>
              </w:rPr>
              <w:t>subpart</w:t>
            </w:r>
            <w:proofErr w:type="gramEnd"/>
            <w:r w:rsidRPr="00FD7CCB">
              <w:rPr>
                <w:szCs w:val="22"/>
              </w:rPr>
              <w:t xml:space="preserve"> ZZZZ does not require Continuous Opacity Monitoring System (COMS).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§63.8(c)(5)</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Subpart ZZZZ does not require COMS.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§63.8(c)(</w:t>
            </w:r>
            <w:proofErr w:type="gramStart"/>
            <w:r w:rsidRPr="00FD7CCB">
              <w:rPr>
                <w:szCs w:val="22"/>
              </w:rPr>
              <w:t>6)-(</w:t>
            </w:r>
            <w:proofErr w:type="gramEnd"/>
            <w:r w:rsidRPr="00FD7CCB">
              <w:rPr>
                <w:szCs w:val="22"/>
              </w:rPr>
              <w:t>8)</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xml:space="preserve">Except that </w:t>
            </w:r>
            <w:proofErr w:type="gramStart"/>
            <w:r w:rsidRPr="00FD7CCB">
              <w:rPr>
                <w:szCs w:val="22"/>
              </w:rPr>
              <w:t>subpart</w:t>
            </w:r>
            <w:proofErr w:type="gramEnd"/>
            <w:r w:rsidRPr="00FD7CCB">
              <w:rPr>
                <w:szCs w:val="22"/>
              </w:rPr>
              <w:t xml:space="preserve"> ZZZZ does not require COMS.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for §63.8(e)(5)(ii), which applies to COMS.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§63.8(f)(</w:t>
            </w:r>
            <w:proofErr w:type="gramStart"/>
            <w:r w:rsidRPr="00FD7CCB">
              <w:rPr>
                <w:szCs w:val="22"/>
              </w:rPr>
              <w:t>1)-(</w:t>
            </w:r>
            <w:proofErr w:type="gramEnd"/>
            <w:r w:rsidRPr="00FD7CCB">
              <w:rPr>
                <w:szCs w:val="22"/>
              </w:rPr>
              <w:t>5)</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§63.8(f)(4) only applies as specified in §63.6645.</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§63.8(f)(6)</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§63.8(f)(6) only applies as specified in §63.6645.</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§63.8(g)</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provisions for COMS are not applicable. Averaging periods for demonstrating compliance are specified at §§63.6635 and 63.6640.</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§63.9(a)</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§63.9(b)(</w:t>
            </w:r>
            <w:proofErr w:type="gramStart"/>
            <w:r w:rsidRPr="00FD7CCB">
              <w:rPr>
                <w:szCs w:val="22"/>
              </w:rPr>
              <w:t>1)-(</w:t>
            </w:r>
            <w:proofErr w:type="gramEnd"/>
            <w:r w:rsidRPr="00FD7CCB">
              <w:rPr>
                <w:szCs w:val="22"/>
              </w:rPr>
              <w:t>5)</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§63.9(b)(3) is reserved.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§63.9(c)</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§63.9(c) only applies as specified in §63.6645.</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§63.9(d)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§63.9(d) only applies as specified in §63.6645.</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§63.9(e)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§63.9(e) only applies as specified in §63.6645.</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§63.9(f)</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Subpart ZZZZ does not contain opacity or VE standards.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§63.9(g)(1)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§63.9(g) only applies as specified in §63.6645.</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§63.9(g)(2)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Subpart ZZZZ does not contain opacity or VE standards.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§63.9(g)(3)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If alternative is in use.</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§63.9(h)(</w:t>
            </w:r>
            <w:proofErr w:type="gramStart"/>
            <w:r w:rsidRPr="00FD7CCB">
              <w:rPr>
                <w:szCs w:val="22"/>
              </w:rPr>
              <w:t>1)-(</w:t>
            </w:r>
            <w:proofErr w:type="gramEnd"/>
            <w:r w:rsidRPr="00FD7CCB">
              <w:rPr>
                <w:szCs w:val="22"/>
              </w:rPr>
              <w:t>6)</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notifications for sources using a CEMS are due 30 days after completion of performance evaluations. §63.9(h)(4) is reserved.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§63.9(h) only applies as specified in §63.6645.</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§63.9(i)</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§63.9(j)</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§63.10(a)</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§63.10(b)(1)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the most recent 2 years of data do not have to be retained on site.</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For CO standard if using RATA alternative.</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§63.10(b)(3)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§63.10(c)</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§63.10(c)(</w:t>
            </w:r>
            <w:proofErr w:type="gramStart"/>
            <w:r w:rsidRPr="00FD7CCB">
              <w:rPr>
                <w:szCs w:val="22"/>
              </w:rPr>
              <w:t>2)-(</w:t>
            </w:r>
            <w:proofErr w:type="gramEnd"/>
            <w:r w:rsidRPr="00FD7CCB">
              <w:rPr>
                <w:szCs w:val="22"/>
              </w:rPr>
              <w:t>4) and (9) are reserved.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§63.10(d)(1)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§63.10(d)(2)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§63.10(d)(3)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Subpart ZZZZ does not contain opacity or VE standards.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§63.10(d)(4)</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§63.10(d)(5)</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Subpart ZZZZ does not require COMS.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§63.10(e)(3)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Except that §63.10(e)(3)(i) (C) is reserved.</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§63.10(e)(4)</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Subpart ZZZZ does not require COMS.</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§63.10(f)</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Flares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§63.14</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§63.15</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bl>
    <w:p w:rsidR="00FD7CCB" w:rsidRPr="00FD7CCB" w:rsidRDefault="00FD7CCB" w:rsidP="00FD7CCB">
      <w:pPr>
        <w:pStyle w:val="cita"/>
        <w:rPr>
          <w:sz w:val="22"/>
          <w:szCs w:val="22"/>
        </w:rPr>
      </w:pPr>
      <w:r w:rsidRPr="00FD7CCB">
        <w:rPr>
          <w:sz w:val="22"/>
          <w:szCs w:val="22"/>
        </w:rPr>
        <w:t>[75 FR 9688, Mar. 3, 2010, as amended at 78 FR 6720, Jan. 30, 2013]</w:t>
      </w:r>
    </w:p>
    <w:p w:rsidR="00FD7CCB" w:rsidRPr="00FD7CCB" w:rsidRDefault="00FD7CCB" w:rsidP="00FD7CCB">
      <w:pPr>
        <w:pStyle w:val="Heading2"/>
        <w:rPr>
          <w:rFonts w:ascii="Times New Roman" w:hAnsi="Times New Roman" w:cs="Times New Roman"/>
          <w:sz w:val="22"/>
          <w:szCs w:val="22"/>
        </w:rPr>
      </w:pPr>
      <w:bookmarkStart w:id="98" w:name="ap40.15.63_16675.a"/>
      <w:bookmarkEnd w:id="98"/>
      <w:r w:rsidRPr="00FD7CCB">
        <w:rPr>
          <w:rFonts w:ascii="Times New Roman" w:hAnsi="Times New Roman" w:cs="Times New Roman"/>
          <w:sz w:val="22"/>
          <w:szCs w:val="22"/>
        </w:rPr>
        <w:t xml:space="preserve">Appendix A to Subpart ZZZZ of Part 63—Protocol for Using an Electrochemical Analyzer to Determine Oxygen and Carbon Monoxide Concentrations </w:t>
      </w:r>
      <w:proofErr w:type="gramStart"/>
      <w:r w:rsidRPr="00FD7CCB">
        <w:rPr>
          <w:rFonts w:ascii="Times New Roman" w:hAnsi="Times New Roman" w:cs="Times New Roman"/>
          <w:sz w:val="22"/>
          <w:szCs w:val="22"/>
        </w:rPr>
        <w:t>From</w:t>
      </w:r>
      <w:proofErr w:type="gramEnd"/>
      <w:r w:rsidRPr="00FD7CCB">
        <w:rPr>
          <w:rFonts w:ascii="Times New Roman" w:hAnsi="Times New Roman" w:cs="Times New Roman"/>
          <w:sz w:val="22"/>
          <w:szCs w:val="22"/>
        </w:rPr>
        <w:t xml:space="preserve"> Certain Engines</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1.0 Scope and Application. What is this Protocol?</w:t>
      </w:r>
    </w:p>
    <w:p w:rsidR="00FD7CCB" w:rsidRPr="00FD7CCB" w:rsidRDefault="00FD7CCB" w:rsidP="00FD7CCB">
      <w:pPr>
        <w:pStyle w:val="NormalWeb"/>
        <w:rPr>
          <w:sz w:val="22"/>
          <w:szCs w:val="22"/>
        </w:rPr>
      </w:pPr>
      <w:r w:rsidRPr="00FD7CCB">
        <w:rPr>
          <w:sz w:val="22"/>
          <w:szCs w:val="22"/>
        </w:rPr>
        <w:t>This protocol is a procedure for using portable electrochemical (EC) cells for measuring carbon monoxide (CO) and oxygen (O</w:t>
      </w:r>
      <w:r w:rsidRPr="00FD7CCB">
        <w:rPr>
          <w:sz w:val="22"/>
          <w:szCs w:val="22"/>
          <w:vertAlign w:val="subscript"/>
        </w:rPr>
        <w:t>2</w:t>
      </w:r>
      <w:r w:rsidRPr="00FD7CCB">
        <w:rPr>
          <w:sz w:val="22"/>
          <w:szCs w:val="22"/>
        </w:rPr>
        <w:t>) concentrations in controlled and uncontrolled emissions from existing stationary 4-stroke lean burn and 4-stroke rich burn reciprocating internal combustion engines as specified in the applicable rule.</w:t>
      </w:r>
    </w:p>
    <w:p w:rsidR="00FD7CCB" w:rsidRPr="00FD7CCB" w:rsidRDefault="00FD7CCB" w:rsidP="00FD7CCB">
      <w:pPr>
        <w:pStyle w:val="Heading2"/>
        <w:rPr>
          <w:rFonts w:ascii="Times New Roman" w:hAnsi="Times New Roman" w:cs="Times New Roman"/>
          <w:i/>
          <w:iCs/>
          <w:sz w:val="22"/>
          <w:szCs w:val="22"/>
        </w:rPr>
      </w:pPr>
      <w:r w:rsidRPr="00FD7CCB">
        <w:rPr>
          <w:rFonts w:ascii="Times New Roman" w:hAnsi="Times New Roman" w:cs="Times New Roman"/>
          <w:b/>
          <w:bCs/>
          <w:i/>
          <w:iCs/>
          <w:sz w:val="22"/>
          <w:szCs w:val="22"/>
        </w:rPr>
        <w:t>1.1 Analytes. What does this protocol determine?</w:t>
      </w:r>
    </w:p>
    <w:p w:rsidR="00FD7CCB" w:rsidRPr="00FD7CCB" w:rsidRDefault="00FD7CCB" w:rsidP="00FD7CCB">
      <w:pPr>
        <w:pStyle w:val="NormalWeb"/>
        <w:rPr>
          <w:sz w:val="22"/>
          <w:szCs w:val="22"/>
        </w:rPr>
      </w:pPr>
      <w:r w:rsidRPr="00FD7CCB">
        <w:rPr>
          <w:sz w:val="22"/>
          <w:szCs w:val="22"/>
        </w:rPr>
        <w:t>This protocol measures the engine exhaust gas concentrations of carbon monoxide (CO) and oxygen (O</w:t>
      </w:r>
      <w:r w:rsidRPr="00FD7CCB">
        <w:rPr>
          <w:sz w:val="22"/>
          <w:szCs w:val="22"/>
          <w:vertAlign w:val="subscript"/>
        </w:rPr>
        <w:t>2</w:t>
      </w:r>
      <w:r w:rsidRPr="00FD7CCB">
        <w:rPr>
          <w:sz w:val="22"/>
          <w:szCs w:val="22"/>
        </w:rPr>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32"/>
        <w:gridCol w:w="851"/>
        <w:gridCol w:w="7427"/>
      </w:tblGrid>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lastRenderedPageBreak/>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D7CCB" w:rsidRPr="00FD7CCB" w:rsidRDefault="00FD7CCB" w:rsidP="00FD7CCB">
            <w:pPr>
              <w:rPr>
                <w:b/>
                <w:bCs/>
                <w:szCs w:val="22"/>
              </w:rPr>
            </w:pPr>
            <w:r w:rsidRPr="00FD7CCB">
              <w:rPr>
                <w:b/>
                <w:bCs/>
                <w:szCs w:val="22"/>
              </w:rPr>
              <w:t>Sensitivity</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630-08-0</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Minimum detectable limit should be 2 percent of the nominal range or 1 ppm, whichever is less restrictive.</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Oxygen (O</w:t>
            </w:r>
            <w:r w:rsidRPr="00FD7CCB">
              <w:rPr>
                <w:szCs w:val="22"/>
                <w:vertAlign w:val="subscript"/>
              </w:rPr>
              <w:t>2</w:t>
            </w: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i/>
                <w:iCs/>
                <w:szCs w:val="22"/>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bl>
    <w:p w:rsidR="00FD7CCB" w:rsidRPr="00FD7CCB" w:rsidRDefault="00FD7CCB" w:rsidP="00FD7CCB">
      <w:pPr>
        <w:pStyle w:val="Heading2"/>
        <w:rPr>
          <w:rFonts w:ascii="Times New Roman" w:hAnsi="Times New Roman" w:cs="Times New Roman"/>
          <w:i/>
          <w:iCs/>
          <w:sz w:val="22"/>
          <w:szCs w:val="22"/>
        </w:rPr>
      </w:pPr>
      <w:r w:rsidRPr="00FD7CCB">
        <w:rPr>
          <w:rFonts w:ascii="Times New Roman" w:hAnsi="Times New Roman" w:cs="Times New Roman"/>
          <w:b/>
          <w:bCs/>
          <w:i/>
          <w:iCs/>
          <w:sz w:val="22"/>
          <w:szCs w:val="22"/>
        </w:rPr>
        <w:t>1.2 Applicability. When is this protocol acceptable?</w:t>
      </w:r>
    </w:p>
    <w:p w:rsidR="00FD7CCB" w:rsidRPr="00FD7CCB" w:rsidRDefault="00FD7CCB" w:rsidP="00FD7CCB">
      <w:pPr>
        <w:pStyle w:val="NormalWeb"/>
        <w:rPr>
          <w:sz w:val="22"/>
          <w:szCs w:val="22"/>
        </w:rPr>
      </w:pPr>
      <w:r w:rsidRPr="00FD7CCB">
        <w:rPr>
          <w:sz w:val="22"/>
          <w:szCs w:val="22"/>
        </w:rPr>
        <w:t>This protocol is applicable to 40 CFR part 63, subpart ZZZZ. Because of inherent cross sensitivities of EC cells, you must not apply this protocol to other emissions sources without specific instruction to that effect.</w:t>
      </w:r>
    </w:p>
    <w:p w:rsidR="00FD7CCB" w:rsidRPr="00FD7CCB" w:rsidRDefault="00FD7CCB" w:rsidP="00FD7CCB">
      <w:pPr>
        <w:pStyle w:val="Heading2"/>
        <w:rPr>
          <w:rFonts w:ascii="Times New Roman" w:hAnsi="Times New Roman" w:cs="Times New Roman"/>
          <w:i/>
          <w:iCs/>
          <w:sz w:val="22"/>
          <w:szCs w:val="22"/>
        </w:rPr>
      </w:pPr>
      <w:r w:rsidRPr="00FD7CCB">
        <w:rPr>
          <w:rFonts w:ascii="Times New Roman" w:hAnsi="Times New Roman" w:cs="Times New Roman"/>
          <w:b/>
          <w:bCs/>
          <w:i/>
          <w:iCs/>
          <w:sz w:val="22"/>
          <w:szCs w:val="22"/>
        </w:rPr>
        <w:t>1.3 Data Quality Objectives. How good must my collected data be?</w:t>
      </w:r>
    </w:p>
    <w:p w:rsidR="00FD7CCB" w:rsidRPr="00FD7CCB" w:rsidRDefault="00FD7CCB" w:rsidP="00FD7CCB">
      <w:pPr>
        <w:pStyle w:val="NormalWeb"/>
        <w:rPr>
          <w:sz w:val="22"/>
          <w:szCs w:val="22"/>
        </w:rPr>
      </w:pPr>
      <w:r w:rsidRPr="00FD7CCB">
        <w:rPr>
          <w:sz w:val="22"/>
          <w:szCs w:val="22"/>
        </w:rPr>
        <w:t>Refer to Section 13 to verify and document acceptable analyzer performance.</w:t>
      </w:r>
    </w:p>
    <w:p w:rsidR="00FD7CCB" w:rsidRPr="00FD7CCB" w:rsidRDefault="00FD7CCB" w:rsidP="00FD7CCB">
      <w:pPr>
        <w:pStyle w:val="Heading2"/>
        <w:rPr>
          <w:rFonts w:ascii="Times New Roman" w:hAnsi="Times New Roman" w:cs="Times New Roman"/>
          <w:i/>
          <w:iCs/>
          <w:sz w:val="22"/>
          <w:szCs w:val="22"/>
        </w:rPr>
      </w:pPr>
      <w:r w:rsidRPr="00FD7CCB">
        <w:rPr>
          <w:rFonts w:ascii="Times New Roman" w:hAnsi="Times New Roman" w:cs="Times New Roman"/>
          <w:b/>
          <w:bCs/>
          <w:i/>
          <w:iCs/>
          <w:sz w:val="22"/>
          <w:szCs w:val="22"/>
        </w:rPr>
        <w:t>1.4 Range. What is the targeted analytical range for this protocol?</w:t>
      </w:r>
    </w:p>
    <w:p w:rsidR="00FD7CCB" w:rsidRPr="00FD7CCB" w:rsidRDefault="00FD7CCB" w:rsidP="00FD7CCB">
      <w:pPr>
        <w:pStyle w:val="NormalWeb"/>
        <w:rPr>
          <w:sz w:val="22"/>
          <w:szCs w:val="22"/>
        </w:rPr>
      </w:pPr>
      <w:r w:rsidRPr="00FD7CCB">
        <w:rPr>
          <w:sz w:val="22"/>
          <w:szCs w:val="22"/>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FD7CCB">
        <w:rPr>
          <w:sz w:val="22"/>
          <w:szCs w:val="22"/>
          <w:vertAlign w:val="subscript"/>
        </w:rPr>
        <w:t>2</w:t>
      </w:r>
      <w:r w:rsidRPr="00FD7CCB">
        <w:rPr>
          <w:sz w:val="22"/>
          <w:szCs w:val="22"/>
        </w:rPr>
        <w:t>, or no more than twice the permitted CO level.</w:t>
      </w:r>
    </w:p>
    <w:p w:rsidR="00FD7CCB" w:rsidRPr="00FD7CCB" w:rsidRDefault="00FD7CCB" w:rsidP="00FD7CCB">
      <w:pPr>
        <w:pStyle w:val="Heading2"/>
        <w:rPr>
          <w:rFonts w:ascii="Times New Roman" w:hAnsi="Times New Roman" w:cs="Times New Roman"/>
          <w:i/>
          <w:iCs/>
          <w:sz w:val="22"/>
          <w:szCs w:val="22"/>
        </w:rPr>
      </w:pPr>
      <w:r w:rsidRPr="00FD7CCB">
        <w:rPr>
          <w:rFonts w:ascii="Times New Roman" w:hAnsi="Times New Roman" w:cs="Times New Roman"/>
          <w:b/>
          <w:bCs/>
          <w:i/>
          <w:iCs/>
          <w:sz w:val="22"/>
          <w:szCs w:val="22"/>
        </w:rPr>
        <w:t xml:space="preserve">1.5 Sensitivity. What minimum detectable limit will this protocol yield for a </w:t>
      </w:r>
      <w:proofErr w:type="gramStart"/>
      <w:r w:rsidRPr="00FD7CCB">
        <w:rPr>
          <w:rFonts w:ascii="Times New Roman" w:hAnsi="Times New Roman" w:cs="Times New Roman"/>
          <w:b/>
          <w:bCs/>
          <w:i/>
          <w:iCs/>
          <w:sz w:val="22"/>
          <w:szCs w:val="22"/>
        </w:rPr>
        <w:t>particular gas</w:t>
      </w:r>
      <w:proofErr w:type="gramEnd"/>
      <w:r w:rsidRPr="00FD7CCB">
        <w:rPr>
          <w:rFonts w:ascii="Times New Roman" w:hAnsi="Times New Roman" w:cs="Times New Roman"/>
          <w:b/>
          <w:bCs/>
          <w:i/>
          <w:iCs/>
          <w:sz w:val="22"/>
          <w:szCs w:val="22"/>
        </w:rPr>
        <w:t xml:space="preserve"> component?</w:t>
      </w:r>
    </w:p>
    <w:p w:rsidR="00FD7CCB" w:rsidRPr="00FD7CCB" w:rsidRDefault="00FD7CCB" w:rsidP="00FD7CCB">
      <w:pPr>
        <w:pStyle w:val="NormalWeb"/>
        <w:rPr>
          <w:sz w:val="22"/>
          <w:szCs w:val="22"/>
        </w:rPr>
      </w:pPr>
      <w:r w:rsidRPr="00FD7CCB">
        <w:rPr>
          <w:sz w:val="22"/>
          <w:szCs w:val="22"/>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2.0 Summary of Protocol</w:t>
      </w:r>
    </w:p>
    <w:p w:rsidR="00FD7CCB" w:rsidRPr="00FD7CCB" w:rsidRDefault="00FD7CCB" w:rsidP="00FD7CCB">
      <w:pPr>
        <w:pStyle w:val="NormalWeb"/>
        <w:rPr>
          <w:sz w:val="22"/>
          <w:szCs w:val="22"/>
        </w:rPr>
      </w:pPr>
      <w:r w:rsidRPr="00FD7CCB">
        <w:rPr>
          <w:sz w:val="22"/>
          <w:szCs w:val="22"/>
        </w:rPr>
        <w:t>In this protocol, a gas sample is extracted from an engine exhaust system and then conveyed to a portable EC analyzer for measurement of CO and O</w:t>
      </w:r>
      <w:r w:rsidRPr="00FD7CCB">
        <w:rPr>
          <w:sz w:val="22"/>
          <w:szCs w:val="22"/>
          <w:vertAlign w:val="subscript"/>
        </w:rPr>
        <w:t>2</w:t>
      </w:r>
      <w:r w:rsidRPr="00FD7CCB">
        <w:rPr>
          <w:sz w:val="22"/>
          <w:szCs w:val="22"/>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3.0 Definitions</w:t>
      </w:r>
    </w:p>
    <w:p w:rsidR="00FD7CCB" w:rsidRPr="00FD7CCB" w:rsidRDefault="00FD7CCB" w:rsidP="00FD7CCB">
      <w:pPr>
        <w:pStyle w:val="NormalWeb"/>
        <w:rPr>
          <w:sz w:val="22"/>
          <w:szCs w:val="22"/>
        </w:rPr>
      </w:pPr>
      <w:r w:rsidRPr="00FD7CCB">
        <w:rPr>
          <w:i/>
          <w:iCs/>
          <w:sz w:val="22"/>
          <w:szCs w:val="22"/>
        </w:rPr>
        <w:t>3.1 Measurement System.</w:t>
      </w:r>
      <w:r w:rsidRPr="00FD7CCB">
        <w:rPr>
          <w:sz w:val="22"/>
          <w:szCs w:val="22"/>
        </w:rPr>
        <w:t xml:space="preserve"> The total equipment required for the measurement of CO and O</w:t>
      </w:r>
      <w:r w:rsidRPr="00FD7CCB">
        <w:rPr>
          <w:sz w:val="22"/>
          <w:szCs w:val="22"/>
          <w:vertAlign w:val="subscript"/>
        </w:rPr>
        <w:t>2</w:t>
      </w:r>
      <w:r w:rsidRPr="00FD7CCB">
        <w:rPr>
          <w:sz w:val="22"/>
          <w:szCs w:val="22"/>
        </w:rPr>
        <w:t xml:space="preserve"> concentrations. The measurement system consists of the following major subsystems:</w:t>
      </w:r>
    </w:p>
    <w:p w:rsidR="00FD7CCB" w:rsidRPr="00FD7CCB" w:rsidRDefault="00FD7CCB" w:rsidP="00FD7CCB">
      <w:pPr>
        <w:pStyle w:val="NormalWeb"/>
        <w:rPr>
          <w:sz w:val="22"/>
          <w:szCs w:val="22"/>
        </w:rPr>
      </w:pPr>
      <w:r w:rsidRPr="00FD7CCB">
        <w:rPr>
          <w:i/>
          <w:iCs/>
          <w:sz w:val="22"/>
          <w:szCs w:val="22"/>
        </w:rPr>
        <w:t>3.1.1 Data Recorder.</w:t>
      </w:r>
      <w:r w:rsidRPr="00FD7CCB">
        <w:rPr>
          <w:sz w:val="22"/>
          <w:szCs w:val="22"/>
        </w:rPr>
        <w:t xml:space="preserve"> A strip chart recorder, computer or digital recorder for logging measurement data from the analyzer output. You may record measurement data from the digital data display manually or electronically.</w:t>
      </w:r>
    </w:p>
    <w:p w:rsidR="00FD7CCB" w:rsidRPr="00FD7CCB" w:rsidRDefault="00FD7CCB" w:rsidP="00FD7CCB">
      <w:pPr>
        <w:pStyle w:val="NormalWeb"/>
        <w:rPr>
          <w:sz w:val="22"/>
          <w:szCs w:val="22"/>
        </w:rPr>
      </w:pPr>
      <w:r w:rsidRPr="00FD7CCB">
        <w:rPr>
          <w:i/>
          <w:iCs/>
          <w:sz w:val="22"/>
          <w:szCs w:val="22"/>
        </w:rPr>
        <w:t>3.1.2 Electrochemical (EC) Cell.</w:t>
      </w:r>
      <w:r w:rsidRPr="00FD7CCB">
        <w:rPr>
          <w:sz w:val="22"/>
          <w:szCs w:val="22"/>
        </w:rPr>
        <w:t xml:space="preserve"> A device, </w:t>
      </w:r>
      <w:proofErr w:type="gramStart"/>
      <w:r w:rsidRPr="00FD7CCB">
        <w:rPr>
          <w:sz w:val="22"/>
          <w:szCs w:val="22"/>
        </w:rPr>
        <w:t>similar to</w:t>
      </w:r>
      <w:proofErr w:type="gramEnd"/>
      <w:r w:rsidRPr="00FD7CCB">
        <w:rPr>
          <w:sz w:val="22"/>
          <w:szCs w:val="22"/>
        </w:rPr>
        <w:t xml:space="preserve"> a fuel cell, used to sense the presence of a specific analyte and generate an electrical current output proportional to the analyte concentration.</w:t>
      </w:r>
    </w:p>
    <w:p w:rsidR="00FD7CCB" w:rsidRPr="00FD7CCB" w:rsidRDefault="00FD7CCB" w:rsidP="00FD7CCB">
      <w:pPr>
        <w:pStyle w:val="NormalWeb"/>
        <w:rPr>
          <w:sz w:val="22"/>
          <w:szCs w:val="22"/>
        </w:rPr>
      </w:pPr>
      <w:r w:rsidRPr="00FD7CCB">
        <w:rPr>
          <w:i/>
          <w:iCs/>
          <w:sz w:val="22"/>
          <w:szCs w:val="22"/>
        </w:rPr>
        <w:lastRenderedPageBreak/>
        <w:t>3.1.3 Interference Gas Scrubber.</w:t>
      </w:r>
      <w:r w:rsidRPr="00FD7CCB">
        <w:rPr>
          <w:sz w:val="22"/>
          <w:szCs w:val="22"/>
        </w:rPr>
        <w:t xml:space="preserve"> A device used to remove or neutralize chemical compounds that may interfere with the selective operation of an EC cell.</w:t>
      </w:r>
    </w:p>
    <w:p w:rsidR="00FD7CCB" w:rsidRPr="00FD7CCB" w:rsidRDefault="00FD7CCB" w:rsidP="00FD7CCB">
      <w:pPr>
        <w:pStyle w:val="NormalWeb"/>
        <w:rPr>
          <w:sz w:val="22"/>
          <w:szCs w:val="22"/>
        </w:rPr>
      </w:pPr>
      <w:r w:rsidRPr="00FD7CCB">
        <w:rPr>
          <w:i/>
          <w:iCs/>
          <w:sz w:val="22"/>
          <w:szCs w:val="22"/>
        </w:rPr>
        <w:t>3.1.4 Moisture Removal System.</w:t>
      </w:r>
      <w:r w:rsidRPr="00FD7CCB">
        <w:rPr>
          <w:sz w:val="22"/>
          <w:szCs w:val="22"/>
        </w:rPr>
        <w:t xml:space="preserve"> Any device used to reduce the concentration of moisture in the sample stream </w:t>
      </w:r>
      <w:proofErr w:type="gramStart"/>
      <w:r w:rsidRPr="00FD7CCB">
        <w:rPr>
          <w:sz w:val="22"/>
          <w:szCs w:val="22"/>
        </w:rPr>
        <w:t>so as to</w:t>
      </w:r>
      <w:proofErr w:type="gramEnd"/>
      <w:r w:rsidRPr="00FD7CCB">
        <w:rPr>
          <w:sz w:val="22"/>
          <w:szCs w:val="22"/>
        </w:rPr>
        <w:t xml:space="preserve"> protect the EC cells from the damaging effects of condensation and to minimize errors in measurements caused by the scrubbing of soluble gases.</w:t>
      </w:r>
    </w:p>
    <w:p w:rsidR="00FD7CCB" w:rsidRPr="00FD7CCB" w:rsidRDefault="00FD7CCB" w:rsidP="00FD7CCB">
      <w:pPr>
        <w:pStyle w:val="NormalWeb"/>
        <w:rPr>
          <w:sz w:val="22"/>
          <w:szCs w:val="22"/>
        </w:rPr>
      </w:pPr>
      <w:r w:rsidRPr="00FD7CCB">
        <w:rPr>
          <w:i/>
          <w:iCs/>
          <w:sz w:val="22"/>
          <w:szCs w:val="22"/>
        </w:rPr>
        <w:t>3.1.5 Sample Interface.</w:t>
      </w:r>
      <w:r w:rsidRPr="00FD7CCB">
        <w:rPr>
          <w:sz w:val="22"/>
          <w:szCs w:val="22"/>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FD7CCB" w:rsidRPr="00FD7CCB" w:rsidRDefault="00FD7CCB" w:rsidP="00FD7CCB">
      <w:pPr>
        <w:pStyle w:val="NormalWeb"/>
        <w:rPr>
          <w:sz w:val="22"/>
          <w:szCs w:val="22"/>
        </w:rPr>
      </w:pPr>
      <w:r w:rsidRPr="00FD7CCB">
        <w:rPr>
          <w:i/>
          <w:iCs/>
          <w:sz w:val="22"/>
          <w:szCs w:val="22"/>
        </w:rPr>
        <w:t>3.2 Nominal Range.</w:t>
      </w:r>
      <w:r w:rsidRPr="00FD7CCB">
        <w:rPr>
          <w:sz w:val="22"/>
          <w:szCs w:val="22"/>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FD7CCB" w:rsidRPr="00FD7CCB" w:rsidRDefault="00FD7CCB" w:rsidP="00FD7CCB">
      <w:pPr>
        <w:pStyle w:val="NormalWeb"/>
        <w:rPr>
          <w:sz w:val="22"/>
          <w:szCs w:val="22"/>
        </w:rPr>
      </w:pPr>
      <w:r w:rsidRPr="00FD7CCB">
        <w:rPr>
          <w:i/>
          <w:iCs/>
          <w:sz w:val="22"/>
          <w:szCs w:val="22"/>
        </w:rPr>
        <w:t>3.3 Calibration Gas.</w:t>
      </w:r>
      <w:r w:rsidRPr="00FD7CCB">
        <w:rPr>
          <w:sz w:val="22"/>
          <w:szCs w:val="22"/>
        </w:rPr>
        <w:t xml:space="preserve"> A vendor certified concentration of a specific analyte in an appropriate balance gas.</w:t>
      </w:r>
    </w:p>
    <w:p w:rsidR="00FD7CCB" w:rsidRPr="00FD7CCB" w:rsidRDefault="00FD7CCB" w:rsidP="00FD7CCB">
      <w:pPr>
        <w:pStyle w:val="NormalWeb"/>
        <w:rPr>
          <w:sz w:val="22"/>
          <w:szCs w:val="22"/>
        </w:rPr>
      </w:pPr>
      <w:r w:rsidRPr="00FD7CCB">
        <w:rPr>
          <w:i/>
          <w:iCs/>
          <w:sz w:val="22"/>
          <w:szCs w:val="22"/>
        </w:rPr>
        <w:t>3.4 Zero Calibration Error.</w:t>
      </w:r>
      <w:r w:rsidRPr="00FD7CCB">
        <w:rPr>
          <w:sz w:val="22"/>
          <w:szCs w:val="22"/>
        </w:rPr>
        <w:t xml:space="preserve"> The analyte concentration output exhibited by the EC cell in response to zero-level calibration gas.</w:t>
      </w:r>
    </w:p>
    <w:p w:rsidR="00FD7CCB" w:rsidRPr="00FD7CCB" w:rsidRDefault="00FD7CCB" w:rsidP="00FD7CCB">
      <w:pPr>
        <w:pStyle w:val="NormalWeb"/>
        <w:rPr>
          <w:sz w:val="22"/>
          <w:szCs w:val="22"/>
        </w:rPr>
      </w:pPr>
      <w:r w:rsidRPr="00FD7CCB">
        <w:rPr>
          <w:i/>
          <w:iCs/>
          <w:sz w:val="22"/>
          <w:szCs w:val="22"/>
        </w:rPr>
        <w:t>3.5 Up-Scale Calibration Error.</w:t>
      </w:r>
      <w:r w:rsidRPr="00FD7CCB">
        <w:rPr>
          <w:sz w:val="22"/>
          <w:szCs w:val="22"/>
        </w:rPr>
        <w:t xml:space="preserve"> The mean of the difference between the analyte concentration exhibited by the EC cell and the certified concentration of the up-scale calibration gas.</w:t>
      </w:r>
    </w:p>
    <w:p w:rsidR="00FD7CCB" w:rsidRPr="00FD7CCB" w:rsidRDefault="00FD7CCB" w:rsidP="00FD7CCB">
      <w:pPr>
        <w:pStyle w:val="NormalWeb"/>
        <w:rPr>
          <w:sz w:val="22"/>
          <w:szCs w:val="22"/>
        </w:rPr>
      </w:pPr>
      <w:r w:rsidRPr="00FD7CCB">
        <w:rPr>
          <w:i/>
          <w:iCs/>
          <w:sz w:val="22"/>
          <w:szCs w:val="22"/>
        </w:rPr>
        <w:t>3.6 Interference Check.</w:t>
      </w:r>
      <w:r w:rsidRPr="00FD7CCB">
        <w:rPr>
          <w:sz w:val="22"/>
          <w:szCs w:val="22"/>
        </w:rPr>
        <w:t xml:space="preserve"> A procedure for quantifying analytical interference from components in the engine exhaust gas other than the targeted analytes.</w:t>
      </w:r>
    </w:p>
    <w:p w:rsidR="00FD7CCB" w:rsidRPr="00FD7CCB" w:rsidRDefault="00FD7CCB" w:rsidP="00FD7CCB">
      <w:pPr>
        <w:pStyle w:val="NormalWeb"/>
        <w:rPr>
          <w:sz w:val="22"/>
          <w:szCs w:val="22"/>
        </w:rPr>
      </w:pPr>
      <w:r w:rsidRPr="00FD7CCB">
        <w:rPr>
          <w:i/>
          <w:iCs/>
          <w:sz w:val="22"/>
          <w:szCs w:val="22"/>
        </w:rPr>
        <w:t>3.7 Repeatability Check.</w:t>
      </w:r>
      <w:r w:rsidRPr="00FD7CCB">
        <w:rPr>
          <w:sz w:val="22"/>
          <w:szCs w:val="22"/>
        </w:rPr>
        <w:t xml:space="preserve"> A protocol for demonstrating that an EC cell operated over a given nominal analyte concentration range provides a stable and consistent response and is not significantly affected by repeated exposure to that gas.</w:t>
      </w:r>
    </w:p>
    <w:p w:rsidR="00FD7CCB" w:rsidRPr="00FD7CCB" w:rsidRDefault="00FD7CCB" w:rsidP="00FD7CCB">
      <w:pPr>
        <w:pStyle w:val="NormalWeb"/>
        <w:rPr>
          <w:sz w:val="22"/>
          <w:szCs w:val="22"/>
        </w:rPr>
      </w:pPr>
      <w:r w:rsidRPr="00FD7CCB">
        <w:rPr>
          <w:i/>
          <w:iCs/>
          <w:sz w:val="22"/>
          <w:szCs w:val="22"/>
        </w:rPr>
        <w:t>3.8 Sample Flow Rate.</w:t>
      </w:r>
      <w:r w:rsidRPr="00FD7CCB">
        <w:rPr>
          <w:sz w:val="22"/>
          <w:szCs w:val="22"/>
        </w:rPr>
        <w:t xml:space="preserve"> The flow rate of the gas sample as it passes through the EC cell. In some situations, EC cells can experience drift with changes in flow rate. The flow rate must be monitored and documented during all phases of a sampling run.</w:t>
      </w:r>
    </w:p>
    <w:p w:rsidR="00FD7CCB" w:rsidRPr="00FD7CCB" w:rsidRDefault="00FD7CCB" w:rsidP="00FD7CCB">
      <w:pPr>
        <w:pStyle w:val="NormalWeb"/>
        <w:rPr>
          <w:sz w:val="22"/>
          <w:szCs w:val="22"/>
        </w:rPr>
      </w:pPr>
      <w:r w:rsidRPr="00FD7CCB">
        <w:rPr>
          <w:i/>
          <w:iCs/>
          <w:sz w:val="22"/>
          <w:szCs w:val="22"/>
        </w:rPr>
        <w:t>3.9 Sampling Run.</w:t>
      </w:r>
      <w:r w:rsidRPr="00FD7CCB">
        <w:rPr>
          <w:sz w:val="22"/>
          <w:szCs w:val="22"/>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FD7CCB">
        <w:rPr>
          <w:sz w:val="22"/>
          <w:szCs w:val="22"/>
          <w:vertAlign w:val="subscript"/>
        </w:rPr>
        <w:t>2</w:t>
      </w:r>
      <w:r w:rsidRPr="00FD7CCB">
        <w:rPr>
          <w:sz w:val="22"/>
          <w:szCs w:val="22"/>
        </w:rPr>
        <w:t xml:space="preserve"> and moisture in the electrolyte reserve and provides a mechanism to de-gas or desorb any interference gas scrubbers or filters </w:t>
      </w:r>
      <w:proofErr w:type="gramStart"/>
      <w:r w:rsidRPr="00FD7CCB">
        <w:rPr>
          <w:sz w:val="22"/>
          <w:szCs w:val="22"/>
        </w:rPr>
        <w:t>so as to</w:t>
      </w:r>
      <w:proofErr w:type="gramEnd"/>
      <w:r w:rsidRPr="00FD7CCB">
        <w:rPr>
          <w:sz w:val="22"/>
          <w:szCs w:val="22"/>
        </w:rPr>
        <w:t xml:space="preserve">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FD7CCB" w:rsidRPr="00FD7CCB" w:rsidRDefault="00FD7CCB" w:rsidP="00FD7CCB">
      <w:pPr>
        <w:pStyle w:val="NormalWeb"/>
        <w:rPr>
          <w:sz w:val="22"/>
          <w:szCs w:val="22"/>
        </w:rPr>
      </w:pPr>
      <w:r w:rsidRPr="00FD7CCB">
        <w:rPr>
          <w:i/>
          <w:iCs/>
          <w:sz w:val="22"/>
          <w:szCs w:val="22"/>
        </w:rPr>
        <w:t>3.10 Sampling Day.</w:t>
      </w:r>
      <w:r w:rsidRPr="00FD7CCB">
        <w:rPr>
          <w:sz w:val="22"/>
          <w:szCs w:val="22"/>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FD7CCB" w:rsidRPr="00FD7CCB" w:rsidRDefault="00FD7CCB" w:rsidP="00FD7CCB">
      <w:pPr>
        <w:pStyle w:val="NormalWeb"/>
        <w:rPr>
          <w:sz w:val="22"/>
          <w:szCs w:val="22"/>
        </w:rPr>
      </w:pPr>
      <w:r w:rsidRPr="00FD7CCB">
        <w:rPr>
          <w:i/>
          <w:iCs/>
          <w:sz w:val="22"/>
          <w:szCs w:val="22"/>
        </w:rPr>
        <w:lastRenderedPageBreak/>
        <w:t>3.11 Pre-Sampling Calibration/Post-Sampling Calibration Check.</w:t>
      </w:r>
      <w:r w:rsidRPr="00FD7CCB">
        <w:rPr>
          <w:sz w:val="22"/>
          <w:szCs w:val="22"/>
        </w:rPr>
        <w:t xml:space="preserve"> The protocols executed at the beginning and end of each sampling day to bracket measurement readings with controlled performance checks.</w:t>
      </w:r>
    </w:p>
    <w:p w:rsidR="00FD7CCB" w:rsidRPr="00FD7CCB" w:rsidRDefault="00FD7CCB" w:rsidP="00FD7CCB">
      <w:pPr>
        <w:pStyle w:val="NormalWeb"/>
        <w:rPr>
          <w:sz w:val="22"/>
          <w:szCs w:val="22"/>
        </w:rPr>
      </w:pPr>
      <w:r w:rsidRPr="00FD7CCB">
        <w:rPr>
          <w:i/>
          <w:iCs/>
          <w:sz w:val="22"/>
          <w:szCs w:val="22"/>
        </w:rPr>
        <w:t>3.12 Performance-Established Configuration.</w:t>
      </w:r>
      <w:r w:rsidRPr="00FD7CCB">
        <w:rPr>
          <w:sz w:val="22"/>
          <w:szCs w:val="22"/>
        </w:rPr>
        <w:t xml:space="preserve"> The EC cell and sampling system configuration that existed at the time that it initially met the performance requirements of this protocol.</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4.0 Interferences.</w:t>
      </w:r>
    </w:p>
    <w:p w:rsidR="00FD7CCB" w:rsidRPr="00FD7CCB" w:rsidRDefault="00FD7CCB" w:rsidP="00FD7CCB">
      <w:pPr>
        <w:pStyle w:val="NormalWeb"/>
        <w:rPr>
          <w:sz w:val="22"/>
          <w:szCs w:val="22"/>
        </w:rPr>
      </w:pPr>
      <w:r w:rsidRPr="00FD7CCB">
        <w:rPr>
          <w:sz w:val="22"/>
          <w:szCs w:val="22"/>
        </w:rPr>
        <w:t>When present in sufficient concentrations, NO and NO</w:t>
      </w:r>
      <w:r w:rsidRPr="00FD7CCB">
        <w:rPr>
          <w:sz w:val="22"/>
          <w:szCs w:val="22"/>
          <w:vertAlign w:val="subscript"/>
        </w:rPr>
        <w:t>2</w:t>
      </w:r>
      <w:r w:rsidRPr="00FD7CCB">
        <w:rPr>
          <w:sz w:val="22"/>
          <w:szCs w:val="22"/>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5.0 Safety. [Reserved]</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6.0 Equipment and Supplies.</w:t>
      </w:r>
    </w:p>
    <w:p w:rsidR="00FD7CCB" w:rsidRPr="00FD7CCB" w:rsidRDefault="00FD7CCB" w:rsidP="00FD7CCB">
      <w:pPr>
        <w:pStyle w:val="Heading2"/>
        <w:rPr>
          <w:rFonts w:ascii="Times New Roman" w:hAnsi="Times New Roman" w:cs="Times New Roman"/>
          <w:b/>
          <w:bCs/>
          <w:i/>
          <w:iCs/>
          <w:sz w:val="22"/>
          <w:szCs w:val="22"/>
        </w:rPr>
      </w:pPr>
      <w:r w:rsidRPr="00FD7CCB">
        <w:rPr>
          <w:rFonts w:ascii="Times New Roman" w:hAnsi="Times New Roman" w:cs="Times New Roman"/>
          <w:b/>
          <w:bCs/>
          <w:i/>
          <w:iCs/>
          <w:sz w:val="22"/>
          <w:szCs w:val="22"/>
        </w:rPr>
        <w:t>6.1 What equipment do I need for the measurement system?</w:t>
      </w:r>
    </w:p>
    <w:p w:rsidR="00FD7CCB" w:rsidRPr="00FD7CCB" w:rsidRDefault="00FD7CCB" w:rsidP="00FD7CCB">
      <w:pPr>
        <w:pStyle w:val="NormalWeb"/>
        <w:rPr>
          <w:sz w:val="22"/>
          <w:szCs w:val="22"/>
        </w:rPr>
      </w:pPr>
      <w:r w:rsidRPr="00FD7CCB">
        <w:rPr>
          <w:sz w:val="22"/>
          <w:szCs w:val="22"/>
        </w:rPr>
        <w:t>The system must maintain the gas sample at conditions that will prevent moisture condensation in the sample transport lines, both before and as the sample gas contacts the EC cells. The essential components of the measurement system are described below.</w:t>
      </w:r>
    </w:p>
    <w:p w:rsidR="00FD7CCB" w:rsidRPr="00FD7CCB" w:rsidRDefault="00FD7CCB" w:rsidP="00FD7CCB">
      <w:pPr>
        <w:pStyle w:val="Heading2"/>
        <w:rPr>
          <w:rFonts w:ascii="Times New Roman" w:hAnsi="Times New Roman" w:cs="Times New Roman"/>
          <w:i/>
          <w:iCs/>
          <w:sz w:val="22"/>
          <w:szCs w:val="22"/>
        </w:rPr>
      </w:pPr>
      <w:r w:rsidRPr="00FD7CCB">
        <w:rPr>
          <w:rFonts w:ascii="Times New Roman" w:hAnsi="Times New Roman" w:cs="Times New Roman"/>
          <w:b/>
          <w:bCs/>
          <w:i/>
          <w:iCs/>
          <w:sz w:val="22"/>
          <w:szCs w:val="22"/>
        </w:rPr>
        <w:t>6.2 Measurement System Components.</w:t>
      </w:r>
    </w:p>
    <w:p w:rsidR="00FD7CCB" w:rsidRPr="00FD7CCB" w:rsidRDefault="00FD7CCB" w:rsidP="00FD7CCB">
      <w:pPr>
        <w:pStyle w:val="NormalWeb"/>
        <w:rPr>
          <w:sz w:val="22"/>
          <w:szCs w:val="22"/>
        </w:rPr>
      </w:pPr>
      <w:r w:rsidRPr="00FD7CCB">
        <w:rPr>
          <w:i/>
          <w:iCs/>
          <w:sz w:val="22"/>
          <w:szCs w:val="22"/>
        </w:rPr>
        <w:t>6.2.1 Sample Probe.</w:t>
      </w:r>
      <w:r w:rsidRPr="00FD7CCB">
        <w:rPr>
          <w:sz w:val="22"/>
          <w:szCs w:val="22"/>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FD7CCB" w:rsidRPr="00FD7CCB" w:rsidRDefault="00FD7CCB" w:rsidP="00FD7CCB">
      <w:pPr>
        <w:pStyle w:val="NormalWeb"/>
        <w:rPr>
          <w:sz w:val="22"/>
          <w:szCs w:val="22"/>
        </w:rPr>
      </w:pPr>
      <w:r w:rsidRPr="00FD7CCB">
        <w:rPr>
          <w:i/>
          <w:iCs/>
          <w:sz w:val="22"/>
          <w:szCs w:val="22"/>
        </w:rPr>
        <w:t>6.2.2 Sample Line.</w:t>
      </w:r>
      <w:r w:rsidRPr="00FD7CCB">
        <w:rPr>
          <w:sz w:val="22"/>
          <w:szCs w:val="22"/>
        </w:rPr>
        <w:t xml:space="preserve"> Non-reactive tubing to transport the effluent from the sample probe to the EC cell.</w:t>
      </w:r>
    </w:p>
    <w:p w:rsidR="00FD7CCB" w:rsidRPr="00FD7CCB" w:rsidRDefault="00FD7CCB" w:rsidP="00FD7CCB">
      <w:pPr>
        <w:pStyle w:val="NormalWeb"/>
        <w:rPr>
          <w:sz w:val="22"/>
          <w:szCs w:val="22"/>
        </w:rPr>
      </w:pPr>
      <w:r w:rsidRPr="00FD7CCB">
        <w:rPr>
          <w:i/>
          <w:iCs/>
          <w:sz w:val="22"/>
          <w:szCs w:val="22"/>
        </w:rPr>
        <w:t>6.2.3 Calibration Assembly (optional).</w:t>
      </w:r>
      <w:r w:rsidRPr="00FD7CCB">
        <w:rPr>
          <w:sz w:val="22"/>
          <w:szCs w:val="22"/>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FD7CCB" w:rsidRPr="00FD7CCB" w:rsidRDefault="00FD7CCB" w:rsidP="00FD7CCB">
      <w:pPr>
        <w:pStyle w:val="NormalWeb"/>
        <w:rPr>
          <w:sz w:val="22"/>
          <w:szCs w:val="22"/>
        </w:rPr>
      </w:pPr>
      <w:r w:rsidRPr="00FD7CCB">
        <w:rPr>
          <w:i/>
          <w:iCs/>
          <w:sz w:val="22"/>
          <w:szCs w:val="22"/>
        </w:rPr>
        <w:t>6.2.4 Particulate Filter (optional).</w:t>
      </w:r>
      <w:r w:rsidRPr="00FD7CCB">
        <w:rPr>
          <w:sz w:val="22"/>
          <w:szCs w:val="22"/>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FD7CCB" w:rsidRPr="00FD7CCB" w:rsidRDefault="00FD7CCB" w:rsidP="00FD7CCB">
      <w:pPr>
        <w:pStyle w:val="NormalWeb"/>
        <w:rPr>
          <w:sz w:val="22"/>
          <w:szCs w:val="22"/>
        </w:rPr>
      </w:pPr>
      <w:r w:rsidRPr="00FD7CCB">
        <w:rPr>
          <w:i/>
          <w:iCs/>
          <w:sz w:val="22"/>
          <w:szCs w:val="22"/>
        </w:rPr>
        <w:t>6.2.5 Sample Pump.</w:t>
      </w:r>
      <w:r w:rsidRPr="00FD7CCB">
        <w:rPr>
          <w:sz w:val="22"/>
          <w:szCs w:val="22"/>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FD7CCB" w:rsidRPr="00FD7CCB" w:rsidRDefault="00FD7CCB" w:rsidP="00FD7CCB">
      <w:pPr>
        <w:pStyle w:val="NormalWeb"/>
        <w:rPr>
          <w:sz w:val="22"/>
          <w:szCs w:val="22"/>
        </w:rPr>
      </w:pPr>
      <w:r w:rsidRPr="00FD7CCB">
        <w:rPr>
          <w:i/>
          <w:iCs/>
          <w:sz w:val="22"/>
          <w:szCs w:val="22"/>
        </w:rPr>
        <w:t>6.2.8 Sample Flow Rate Monitoring.</w:t>
      </w:r>
      <w:r w:rsidRPr="00FD7CCB">
        <w:rPr>
          <w:sz w:val="22"/>
          <w:szCs w:val="22"/>
        </w:rPr>
        <w:t xml:space="preserve"> An adjustable rotameter or equivalent device used to adjust and maintain the sample flow rate through the analyzer as prescribed.</w:t>
      </w:r>
    </w:p>
    <w:p w:rsidR="00FD7CCB" w:rsidRPr="00FD7CCB" w:rsidRDefault="00FD7CCB" w:rsidP="00FD7CCB">
      <w:pPr>
        <w:pStyle w:val="NormalWeb"/>
        <w:rPr>
          <w:sz w:val="22"/>
          <w:szCs w:val="22"/>
        </w:rPr>
      </w:pPr>
      <w:r w:rsidRPr="00FD7CCB">
        <w:rPr>
          <w:i/>
          <w:iCs/>
          <w:sz w:val="22"/>
          <w:szCs w:val="22"/>
        </w:rPr>
        <w:t>6.2.9 Sample Gas Manifold (optional).</w:t>
      </w:r>
      <w:r w:rsidRPr="00FD7CCB">
        <w:rPr>
          <w:sz w:val="22"/>
          <w:szCs w:val="22"/>
        </w:rPr>
        <w:t xml:space="preserve"> A manifold to divert a portion of the sample gas stream to the analyzer and the remainder to a by-pass discharge vent. The sample gas manifold may also include provisions for </w:t>
      </w:r>
      <w:r w:rsidRPr="00FD7CCB">
        <w:rPr>
          <w:sz w:val="22"/>
          <w:szCs w:val="22"/>
        </w:rPr>
        <w:lastRenderedPageBreak/>
        <w:t>introducing calibration gases directly to the analyzer. The manifold must be constructed of a material that is non-reactive to the gas mixtures being sampled.</w:t>
      </w:r>
    </w:p>
    <w:p w:rsidR="00FD7CCB" w:rsidRPr="00FD7CCB" w:rsidRDefault="00FD7CCB" w:rsidP="00FD7CCB">
      <w:pPr>
        <w:pStyle w:val="NormalWeb"/>
        <w:rPr>
          <w:sz w:val="22"/>
          <w:szCs w:val="22"/>
        </w:rPr>
      </w:pPr>
      <w:r w:rsidRPr="00FD7CCB">
        <w:rPr>
          <w:i/>
          <w:iCs/>
          <w:sz w:val="22"/>
          <w:szCs w:val="22"/>
        </w:rPr>
        <w:t>6.2.10 EC cell.</w:t>
      </w:r>
      <w:r w:rsidRPr="00FD7CCB">
        <w:rPr>
          <w:sz w:val="22"/>
          <w:szCs w:val="22"/>
        </w:rPr>
        <w:t xml:space="preserve"> A device containing one or more EC cells to determine the CO and O</w:t>
      </w:r>
      <w:r w:rsidRPr="00FD7CCB">
        <w:rPr>
          <w:sz w:val="22"/>
          <w:szCs w:val="22"/>
          <w:vertAlign w:val="subscript"/>
        </w:rPr>
        <w:t>2</w:t>
      </w:r>
      <w:r w:rsidRPr="00FD7CCB">
        <w:rPr>
          <w:sz w:val="22"/>
          <w:szCs w:val="22"/>
        </w:rPr>
        <w:t xml:space="preserve"> concentrations in the sample gas stream. The EC cell(s) must meet the applicable performance specifications of Section 13 of this protocol.</w:t>
      </w:r>
    </w:p>
    <w:p w:rsidR="00FD7CCB" w:rsidRPr="00FD7CCB" w:rsidRDefault="00FD7CCB" w:rsidP="00FD7CCB">
      <w:pPr>
        <w:pStyle w:val="NormalWeb"/>
        <w:rPr>
          <w:sz w:val="22"/>
          <w:szCs w:val="22"/>
        </w:rPr>
      </w:pPr>
      <w:r w:rsidRPr="00FD7CCB">
        <w:rPr>
          <w:i/>
          <w:iCs/>
          <w:sz w:val="22"/>
          <w:szCs w:val="22"/>
        </w:rPr>
        <w:t>6.2.11 Data Recorder.</w:t>
      </w:r>
      <w:r w:rsidRPr="00FD7CCB">
        <w:rPr>
          <w:sz w:val="22"/>
          <w:szCs w:val="22"/>
        </w:rPr>
        <w:t xml:space="preserve"> A strip chart recorder, computer or digital recorder to make a record of analyzer output data. The data recorder resolution (i.e., readability) must be no greater than 1 ppm for CO; 0.1 percent for O</w:t>
      </w:r>
      <w:r w:rsidRPr="00FD7CCB">
        <w:rPr>
          <w:sz w:val="22"/>
          <w:szCs w:val="22"/>
          <w:vertAlign w:val="subscript"/>
        </w:rPr>
        <w:t>2</w:t>
      </w:r>
      <w:r w:rsidRPr="00FD7CCB">
        <w:rPr>
          <w:sz w:val="22"/>
          <w:szCs w:val="22"/>
        </w:rPr>
        <w:t>; and one degree (either °C or °F) for temperature. Alternatively, you may use a digital or analog meter having the same resolution to observe and manually record the analyzer responses.</w:t>
      </w:r>
    </w:p>
    <w:p w:rsidR="00FD7CCB" w:rsidRPr="00FD7CCB" w:rsidRDefault="00FD7CCB" w:rsidP="00FD7CCB">
      <w:pPr>
        <w:pStyle w:val="NormalWeb"/>
        <w:rPr>
          <w:sz w:val="22"/>
          <w:szCs w:val="22"/>
        </w:rPr>
      </w:pPr>
      <w:r w:rsidRPr="00FD7CCB">
        <w:rPr>
          <w:i/>
          <w:iCs/>
          <w:sz w:val="22"/>
          <w:szCs w:val="22"/>
        </w:rPr>
        <w:t>6.2.12 Interference Gas Filter or Scrubber.</w:t>
      </w:r>
      <w:r w:rsidRPr="00FD7CCB">
        <w:rPr>
          <w:sz w:val="22"/>
          <w:szCs w:val="22"/>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7.0 Reagents and Standards. What calibration gases are needed?</w:t>
      </w:r>
    </w:p>
    <w:p w:rsidR="00FD7CCB" w:rsidRPr="00FD7CCB" w:rsidRDefault="00FD7CCB" w:rsidP="00FD7CCB">
      <w:pPr>
        <w:pStyle w:val="NormalWeb"/>
        <w:rPr>
          <w:sz w:val="22"/>
          <w:szCs w:val="22"/>
        </w:rPr>
      </w:pPr>
      <w:r w:rsidRPr="00FD7CCB">
        <w:rPr>
          <w:i/>
          <w:iCs/>
          <w:sz w:val="22"/>
          <w:szCs w:val="22"/>
        </w:rPr>
        <w:t>7.1 Calibration Gases.</w:t>
      </w:r>
      <w:r w:rsidRPr="00FD7CCB">
        <w:rPr>
          <w:sz w:val="22"/>
          <w:szCs w:val="22"/>
        </w:rPr>
        <w:t xml:space="preserve"> CO calibration gases for the EC cell must be CO in nitrogen or CO in a mixture of nitrogen and O</w:t>
      </w:r>
      <w:r w:rsidRPr="00FD7CCB">
        <w:rPr>
          <w:sz w:val="22"/>
          <w:szCs w:val="22"/>
          <w:vertAlign w:val="subscript"/>
        </w:rPr>
        <w:t>2</w:t>
      </w:r>
      <w:r w:rsidRPr="00FD7CCB">
        <w:rPr>
          <w:sz w:val="22"/>
          <w:szCs w:val="22"/>
        </w:rPr>
        <w:t>. Use CO calibration gases with labeled concentration values certified by the manufacturer to be within ±5 percent of the label value. Dry ambient air (20.9 percent O</w:t>
      </w:r>
      <w:r w:rsidRPr="00FD7CCB">
        <w:rPr>
          <w:sz w:val="22"/>
          <w:szCs w:val="22"/>
          <w:vertAlign w:val="subscript"/>
        </w:rPr>
        <w:t>2</w:t>
      </w:r>
      <w:r w:rsidRPr="00FD7CCB">
        <w:rPr>
          <w:sz w:val="22"/>
          <w:szCs w:val="22"/>
        </w:rPr>
        <w:t>) is acceptable for calibration of the O</w:t>
      </w:r>
      <w:r w:rsidRPr="00FD7CCB">
        <w:rPr>
          <w:sz w:val="22"/>
          <w:szCs w:val="22"/>
          <w:vertAlign w:val="subscript"/>
        </w:rPr>
        <w:t>2</w:t>
      </w:r>
      <w:r w:rsidRPr="00FD7CCB">
        <w:rPr>
          <w:sz w:val="22"/>
          <w:szCs w:val="22"/>
        </w:rPr>
        <w:t xml:space="preserve"> cell. If needed, any lower percentage O</w:t>
      </w:r>
      <w:r w:rsidRPr="00FD7CCB">
        <w:rPr>
          <w:sz w:val="22"/>
          <w:szCs w:val="22"/>
          <w:vertAlign w:val="subscript"/>
        </w:rPr>
        <w:t>2</w:t>
      </w:r>
      <w:r w:rsidRPr="00FD7CCB">
        <w:rPr>
          <w:sz w:val="22"/>
          <w:szCs w:val="22"/>
        </w:rPr>
        <w:t xml:space="preserve"> calibration gas must be a mixture of O</w:t>
      </w:r>
      <w:r w:rsidRPr="00FD7CCB">
        <w:rPr>
          <w:sz w:val="22"/>
          <w:szCs w:val="22"/>
          <w:vertAlign w:val="subscript"/>
        </w:rPr>
        <w:t>2</w:t>
      </w:r>
      <w:r w:rsidRPr="00FD7CCB">
        <w:rPr>
          <w:sz w:val="22"/>
          <w:szCs w:val="22"/>
        </w:rPr>
        <w:t xml:space="preserve"> in nitrogen.</w:t>
      </w:r>
    </w:p>
    <w:p w:rsidR="00FD7CCB" w:rsidRPr="00FD7CCB" w:rsidRDefault="00FD7CCB" w:rsidP="00FD7CCB">
      <w:pPr>
        <w:pStyle w:val="NormalWeb"/>
        <w:rPr>
          <w:sz w:val="22"/>
          <w:szCs w:val="22"/>
        </w:rPr>
      </w:pPr>
      <w:r w:rsidRPr="00FD7CCB">
        <w:rPr>
          <w:i/>
          <w:iCs/>
          <w:sz w:val="22"/>
          <w:szCs w:val="22"/>
        </w:rPr>
        <w:t>7.1.1 Up-Scale CO Calibration Gas Concentration.</w:t>
      </w:r>
      <w:r w:rsidRPr="00FD7CCB">
        <w:rPr>
          <w:sz w:val="22"/>
          <w:szCs w:val="22"/>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FD7CCB" w:rsidRPr="00FD7CCB" w:rsidRDefault="00FD7CCB" w:rsidP="00FD7CCB">
      <w:pPr>
        <w:pStyle w:val="NormalWeb"/>
        <w:rPr>
          <w:sz w:val="22"/>
          <w:szCs w:val="22"/>
        </w:rPr>
      </w:pPr>
      <w:r w:rsidRPr="00FD7CCB">
        <w:rPr>
          <w:i/>
          <w:iCs/>
          <w:sz w:val="22"/>
          <w:szCs w:val="22"/>
        </w:rPr>
        <w:t>7.1.2 Up-Scale O</w:t>
      </w:r>
      <w:r w:rsidRPr="00FD7CCB">
        <w:rPr>
          <w:sz w:val="22"/>
          <w:szCs w:val="22"/>
          <w:vertAlign w:val="subscript"/>
        </w:rPr>
        <w:t>2</w:t>
      </w:r>
      <w:r w:rsidRPr="00FD7CCB">
        <w:rPr>
          <w:sz w:val="22"/>
          <w:szCs w:val="22"/>
        </w:rPr>
        <w:t xml:space="preserve"> </w:t>
      </w:r>
      <w:r w:rsidRPr="00FD7CCB">
        <w:rPr>
          <w:i/>
          <w:iCs/>
          <w:sz w:val="22"/>
          <w:szCs w:val="22"/>
        </w:rPr>
        <w:t>Calibration Gas Concentration.</w:t>
      </w:r>
    </w:p>
    <w:p w:rsidR="00FD7CCB" w:rsidRPr="00FD7CCB" w:rsidRDefault="00FD7CCB" w:rsidP="00FD7CCB">
      <w:pPr>
        <w:pStyle w:val="NormalWeb"/>
        <w:rPr>
          <w:sz w:val="22"/>
          <w:szCs w:val="22"/>
        </w:rPr>
      </w:pPr>
      <w:r w:rsidRPr="00FD7CCB">
        <w:rPr>
          <w:sz w:val="22"/>
          <w:szCs w:val="22"/>
        </w:rPr>
        <w:t>Select an O</w:t>
      </w:r>
      <w:r w:rsidRPr="00FD7CCB">
        <w:rPr>
          <w:sz w:val="22"/>
          <w:szCs w:val="22"/>
          <w:vertAlign w:val="subscript"/>
        </w:rPr>
        <w:t>2</w:t>
      </w:r>
      <w:r w:rsidRPr="00FD7CCB">
        <w:rPr>
          <w:sz w:val="22"/>
          <w:szCs w:val="22"/>
        </w:rPr>
        <w:t xml:space="preserve"> gas concentration such that the difference between the gas concentration and the average stack gas measurement or reading for each sample run is less than 15 percent O</w:t>
      </w:r>
      <w:r w:rsidRPr="00FD7CCB">
        <w:rPr>
          <w:sz w:val="22"/>
          <w:szCs w:val="22"/>
          <w:vertAlign w:val="subscript"/>
        </w:rPr>
        <w:t>2</w:t>
      </w:r>
      <w:r w:rsidRPr="00FD7CCB">
        <w:rPr>
          <w:sz w:val="22"/>
          <w:szCs w:val="22"/>
        </w:rPr>
        <w:t>. When the average exhaust gas O</w:t>
      </w:r>
      <w:r w:rsidRPr="00FD7CCB">
        <w:rPr>
          <w:sz w:val="22"/>
          <w:szCs w:val="22"/>
          <w:vertAlign w:val="subscript"/>
        </w:rPr>
        <w:t>2</w:t>
      </w:r>
      <w:r w:rsidRPr="00FD7CCB">
        <w:rPr>
          <w:sz w:val="22"/>
          <w:szCs w:val="22"/>
        </w:rPr>
        <w:t xml:space="preserve"> readings are above 6 percent, you may use dry ambient air (20.9 percent O</w:t>
      </w:r>
      <w:r w:rsidRPr="00FD7CCB">
        <w:rPr>
          <w:sz w:val="22"/>
          <w:szCs w:val="22"/>
          <w:vertAlign w:val="subscript"/>
        </w:rPr>
        <w:t>2</w:t>
      </w:r>
      <w:r w:rsidRPr="00FD7CCB">
        <w:rPr>
          <w:sz w:val="22"/>
          <w:szCs w:val="22"/>
        </w:rPr>
        <w:t>) for the up-scale O</w:t>
      </w:r>
      <w:r w:rsidRPr="00FD7CCB">
        <w:rPr>
          <w:sz w:val="22"/>
          <w:szCs w:val="22"/>
          <w:vertAlign w:val="subscript"/>
        </w:rPr>
        <w:t>2</w:t>
      </w:r>
      <w:r w:rsidRPr="00FD7CCB">
        <w:rPr>
          <w:sz w:val="22"/>
          <w:szCs w:val="22"/>
        </w:rPr>
        <w:t xml:space="preserve"> calibration gas.</w:t>
      </w:r>
    </w:p>
    <w:p w:rsidR="00FD7CCB" w:rsidRPr="00FD7CCB" w:rsidRDefault="00FD7CCB" w:rsidP="00FD7CCB">
      <w:pPr>
        <w:pStyle w:val="NormalWeb"/>
        <w:rPr>
          <w:sz w:val="22"/>
          <w:szCs w:val="22"/>
        </w:rPr>
      </w:pPr>
      <w:r w:rsidRPr="00FD7CCB">
        <w:rPr>
          <w:i/>
          <w:iCs/>
          <w:sz w:val="22"/>
          <w:szCs w:val="22"/>
        </w:rPr>
        <w:t>7.1.3 Zero Gas.</w:t>
      </w:r>
      <w:r w:rsidRPr="00FD7CCB">
        <w:rPr>
          <w:sz w:val="22"/>
          <w:szCs w:val="22"/>
        </w:rPr>
        <w:t xml:space="preserve"> Use an inert gas that contains less than 0.25 percent of the up-scale CO calibration gas concentration. You may use dry air that is free from ambient CO and other combustion gas products (e.g., CO</w:t>
      </w:r>
      <w:r w:rsidRPr="00FD7CCB">
        <w:rPr>
          <w:sz w:val="22"/>
          <w:szCs w:val="22"/>
          <w:vertAlign w:val="subscript"/>
        </w:rPr>
        <w:t>2</w:t>
      </w:r>
      <w:r w:rsidRPr="00FD7CCB">
        <w:rPr>
          <w:sz w:val="22"/>
          <w:szCs w:val="22"/>
        </w:rPr>
        <w:t>).</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8.0 Sample Collection and Analysis</w:t>
      </w:r>
    </w:p>
    <w:p w:rsidR="00FD7CCB" w:rsidRPr="00FD7CCB" w:rsidRDefault="00FD7CCB" w:rsidP="00FD7CCB">
      <w:pPr>
        <w:pStyle w:val="NormalWeb"/>
        <w:rPr>
          <w:sz w:val="22"/>
          <w:szCs w:val="22"/>
        </w:rPr>
      </w:pPr>
      <w:r w:rsidRPr="00FD7CCB">
        <w:rPr>
          <w:i/>
          <w:iCs/>
          <w:sz w:val="22"/>
          <w:szCs w:val="22"/>
        </w:rPr>
        <w:t>8.1 Selection of Sampling Sites.</w:t>
      </w:r>
    </w:p>
    <w:p w:rsidR="00FD7CCB" w:rsidRPr="00FD7CCB" w:rsidRDefault="00FD7CCB" w:rsidP="00FD7CCB">
      <w:pPr>
        <w:pStyle w:val="NormalWeb"/>
        <w:rPr>
          <w:sz w:val="22"/>
          <w:szCs w:val="22"/>
        </w:rPr>
      </w:pPr>
      <w:r w:rsidRPr="00FD7CCB">
        <w:rPr>
          <w:i/>
          <w:iCs/>
          <w:sz w:val="22"/>
          <w:szCs w:val="22"/>
        </w:rPr>
        <w:t>8.1.1 Control Device Inlet.</w:t>
      </w:r>
      <w:r w:rsidRPr="00FD7CCB">
        <w:rPr>
          <w:sz w:val="22"/>
          <w:szCs w:val="22"/>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rsidR="00FD7CCB" w:rsidRPr="00FD7CCB" w:rsidRDefault="00FD7CCB" w:rsidP="00FD7CCB">
      <w:pPr>
        <w:pStyle w:val="NormalWeb"/>
        <w:rPr>
          <w:sz w:val="22"/>
          <w:szCs w:val="22"/>
        </w:rPr>
      </w:pPr>
      <w:r w:rsidRPr="00FD7CCB">
        <w:rPr>
          <w:i/>
          <w:iCs/>
          <w:sz w:val="22"/>
          <w:szCs w:val="22"/>
        </w:rPr>
        <w:lastRenderedPageBreak/>
        <w:t>8.1.2 Exhaust Gas Outlet.</w:t>
      </w:r>
      <w:r w:rsidRPr="00FD7CCB">
        <w:rPr>
          <w:sz w:val="22"/>
          <w:szCs w:val="22"/>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rsidR="00FD7CCB" w:rsidRPr="00FD7CCB" w:rsidRDefault="00FD7CCB" w:rsidP="00FD7CCB">
      <w:pPr>
        <w:pStyle w:val="NormalWeb"/>
        <w:rPr>
          <w:sz w:val="22"/>
          <w:szCs w:val="22"/>
        </w:rPr>
      </w:pPr>
      <w:r w:rsidRPr="00FD7CCB">
        <w:rPr>
          <w:i/>
          <w:iCs/>
          <w:sz w:val="22"/>
          <w:szCs w:val="22"/>
        </w:rPr>
        <w:t>8.2 Stack Gas Collection and Analysis.</w:t>
      </w:r>
      <w:r w:rsidRPr="00FD7CCB">
        <w:rPr>
          <w:sz w:val="22"/>
          <w:szCs w:val="22"/>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FD7CCB">
        <w:rPr>
          <w:sz w:val="22"/>
          <w:szCs w:val="22"/>
          <w:vertAlign w:val="subscript"/>
        </w:rPr>
        <w:t>2</w:t>
      </w:r>
      <w:r w:rsidRPr="00FD7CCB">
        <w:rPr>
          <w:sz w:val="22"/>
          <w:szCs w:val="22"/>
        </w:rPr>
        <w:t xml:space="preserve"> concentrations.</w:t>
      </w:r>
    </w:p>
    <w:p w:rsidR="00FD7CCB" w:rsidRPr="00FD7CCB" w:rsidRDefault="00FD7CCB" w:rsidP="00FD7CCB">
      <w:pPr>
        <w:pStyle w:val="NormalWeb"/>
        <w:rPr>
          <w:sz w:val="22"/>
          <w:szCs w:val="22"/>
        </w:rPr>
      </w:pPr>
      <w:r w:rsidRPr="00FD7CCB">
        <w:rPr>
          <w:i/>
          <w:iCs/>
          <w:sz w:val="22"/>
          <w:szCs w:val="22"/>
        </w:rPr>
        <w:t>8.3 EC Cell Rate.</w:t>
      </w:r>
      <w:r w:rsidRPr="00FD7CCB">
        <w:rPr>
          <w:sz w:val="22"/>
          <w:szCs w:val="22"/>
        </w:rPr>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9.0 Quality Control (Reserved)</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10.0 Calibration and Standardization</w:t>
      </w:r>
    </w:p>
    <w:p w:rsidR="00FD7CCB" w:rsidRPr="00FD7CCB" w:rsidRDefault="00FD7CCB" w:rsidP="00FD7CCB">
      <w:pPr>
        <w:pStyle w:val="NormalWeb"/>
        <w:rPr>
          <w:sz w:val="22"/>
          <w:szCs w:val="22"/>
        </w:rPr>
      </w:pPr>
      <w:r w:rsidRPr="00FD7CCB">
        <w:rPr>
          <w:i/>
          <w:iCs/>
          <w:sz w:val="22"/>
          <w:szCs w:val="22"/>
        </w:rPr>
        <w:t>10.1 Pre-Sampling Calibration.</w:t>
      </w:r>
      <w:r w:rsidRPr="00FD7CCB">
        <w:rPr>
          <w:sz w:val="22"/>
          <w:szCs w:val="22"/>
        </w:rPr>
        <w:t xml:space="preserve"> Conduct the following protocol once for each nominal range to be used on each EC cell before performing a stack gas sampling run on each field sampling day. Repeat the calibration if you replace an EC cell before completing </w:t>
      </w:r>
      <w:proofErr w:type="gramStart"/>
      <w:r w:rsidRPr="00FD7CCB">
        <w:rPr>
          <w:sz w:val="22"/>
          <w:szCs w:val="22"/>
        </w:rPr>
        <w:t>all of</w:t>
      </w:r>
      <w:proofErr w:type="gramEnd"/>
      <w:r w:rsidRPr="00FD7CCB">
        <w:rPr>
          <w:sz w:val="22"/>
          <w:szCs w:val="22"/>
        </w:rPr>
        <w:t xml:space="preserve">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FD7CCB" w:rsidRPr="00FD7CCB" w:rsidRDefault="00FD7CCB" w:rsidP="00FD7CCB">
      <w:pPr>
        <w:pStyle w:val="NormalWeb"/>
        <w:rPr>
          <w:sz w:val="22"/>
          <w:szCs w:val="22"/>
        </w:rPr>
      </w:pPr>
      <w:r w:rsidRPr="00FD7CCB">
        <w:rPr>
          <w:i/>
          <w:iCs/>
          <w:sz w:val="22"/>
          <w:szCs w:val="22"/>
        </w:rPr>
        <w:t>10.1.1 Zero Calibration.</w:t>
      </w:r>
      <w:r w:rsidRPr="00FD7CCB">
        <w:rPr>
          <w:sz w:val="22"/>
          <w:szCs w:val="22"/>
        </w:rPr>
        <w:t xml:space="preserve"> For both the O</w:t>
      </w:r>
      <w:r w:rsidRPr="00FD7CCB">
        <w:rPr>
          <w:sz w:val="22"/>
          <w:szCs w:val="22"/>
          <w:vertAlign w:val="subscript"/>
        </w:rPr>
        <w:t>2</w:t>
      </w:r>
      <w:r w:rsidRPr="00FD7CCB">
        <w:rPr>
          <w:sz w:val="22"/>
          <w:szCs w:val="22"/>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FD7CCB" w:rsidRPr="00FD7CCB" w:rsidRDefault="00FD7CCB" w:rsidP="00FD7CCB">
      <w:pPr>
        <w:pStyle w:val="NormalWeb"/>
        <w:rPr>
          <w:sz w:val="22"/>
          <w:szCs w:val="22"/>
        </w:rPr>
      </w:pPr>
      <w:r w:rsidRPr="00FD7CCB">
        <w:rPr>
          <w:i/>
          <w:iCs/>
          <w:sz w:val="22"/>
          <w:szCs w:val="22"/>
        </w:rPr>
        <w:t>10.1.2 Zero Calibration Tolerance.</w:t>
      </w:r>
      <w:r w:rsidRPr="00FD7CCB">
        <w:rPr>
          <w:sz w:val="22"/>
          <w:szCs w:val="22"/>
        </w:rPr>
        <w:t xml:space="preserve"> For each </w:t>
      </w:r>
      <w:proofErr w:type="gramStart"/>
      <w:r w:rsidRPr="00FD7CCB">
        <w:rPr>
          <w:sz w:val="22"/>
          <w:szCs w:val="22"/>
        </w:rPr>
        <w:t>zero gas</w:t>
      </w:r>
      <w:proofErr w:type="gramEnd"/>
      <w:r w:rsidRPr="00FD7CCB">
        <w:rPr>
          <w:sz w:val="22"/>
          <w:szCs w:val="22"/>
        </w:rPr>
        <w:t xml:space="preserve"> introduction, the zero level output must be less than or equal to ±3 percent of the up-scale gas value or ±1 ppm, whichever is less restrictive, for the CO channel and less than or equal to ±0.3 percent O</w:t>
      </w:r>
      <w:r w:rsidRPr="00FD7CCB">
        <w:rPr>
          <w:sz w:val="22"/>
          <w:szCs w:val="22"/>
          <w:vertAlign w:val="subscript"/>
        </w:rPr>
        <w:t>2</w:t>
      </w:r>
      <w:r w:rsidRPr="00FD7CCB">
        <w:rPr>
          <w:sz w:val="22"/>
          <w:szCs w:val="22"/>
        </w:rPr>
        <w:t xml:space="preserve"> for the O</w:t>
      </w:r>
      <w:r w:rsidRPr="00FD7CCB">
        <w:rPr>
          <w:sz w:val="22"/>
          <w:szCs w:val="22"/>
          <w:vertAlign w:val="subscript"/>
        </w:rPr>
        <w:t>2</w:t>
      </w:r>
      <w:r w:rsidRPr="00FD7CCB">
        <w:rPr>
          <w:sz w:val="22"/>
          <w:szCs w:val="22"/>
        </w:rPr>
        <w:t xml:space="preserve"> channel.</w:t>
      </w:r>
    </w:p>
    <w:p w:rsidR="00FD7CCB" w:rsidRPr="00FD7CCB" w:rsidRDefault="00FD7CCB" w:rsidP="00FD7CCB">
      <w:pPr>
        <w:pStyle w:val="NormalWeb"/>
        <w:rPr>
          <w:sz w:val="22"/>
          <w:szCs w:val="22"/>
        </w:rPr>
      </w:pPr>
      <w:r w:rsidRPr="00FD7CCB">
        <w:rPr>
          <w:i/>
          <w:iCs/>
          <w:sz w:val="22"/>
          <w:szCs w:val="22"/>
        </w:rPr>
        <w:t>10.1.3 Up-Scale Calibration.</w:t>
      </w:r>
      <w:r w:rsidRPr="00FD7CCB">
        <w:rPr>
          <w:sz w:val="22"/>
          <w:szCs w:val="22"/>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w:t>
      </w:r>
      <w:r w:rsidRPr="00FD7CCB">
        <w:rPr>
          <w:sz w:val="22"/>
          <w:szCs w:val="22"/>
        </w:rPr>
        <w:lastRenderedPageBreak/>
        <w:t>to verify the calibration for each component gas. Introduce all gases to flow through the entire sample handling system (i.e., at the exit end of the sampling probe or the calibration assembly).</w:t>
      </w:r>
    </w:p>
    <w:p w:rsidR="00FD7CCB" w:rsidRPr="00FD7CCB" w:rsidRDefault="00FD7CCB" w:rsidP="00FD7CCB">
      <w:pPr>
        <w:pStyle w:val="NormalWeb"/>
        <w:rPr>
          <w:sz w:val="22"/>
          <w:szCs w:val="22"/>
        </w:rPr>
      </w:pPr>
      <w:r w:rsidRPr="00FD7CCB">
        <w:rPr>
          <w:i/>
          <w:iCs/>
          <w:sz w:val="22"/>
          <w:szCs w:val="22"/>
        </w:rPr>
        <w:t>10.1.4 Up-Scale Calibration Error.</w:t>
      </w:r>
      <w:r w:rsidRPr="00FD7CCB">
        <w:rPr>
          <w:sz w:val="22"/>
          <w:szCs w:val="22"/>
        </w:rPr>
        <w:t xml:space="preserve"> The mean of the difference of the “measurement data phase” readings from the reported standard gas value must be less than or equal to ±5 percent or ±1 ppm for CO or ±0.5 percent O</w:t>
      </w:r>
      <w:r w:rsidRPr="00FD7CCB">
        <w:rPr>
          <w:sz w:val="22"/>
          <w:szCs w:val="22"/>
          <w:vertAlign w:val="subscript"/>
        </w:rPr>
        <w:t>2</w:t>
      </w:r>
      <w:r w:rsidRPr="00FD7CCB">
        <w:rPr>
          <w:sz w:val="22"/>
          <w:szCs w:val="22"/>
        </w:rPr>
        <w:t>, whichever is less restrictive, respectively. The maximum allowable deviation from the mean measured value of any single “measurement data phase” reading must be less than or equal to ±2 percent or ±1 ppm for CO or ±0.5 percent O</w:t>
      </w:r>
      <w:r w:rsidRPr="00FD7CCB">
        <w:rPr>
          <w:sz w:val="22"/>
          <w:szCs w:val="22"/>
          <w:vertAlign w:val="subscript"/>
        </w:rPr>
        <w:t>2</w:t>
      </w:r>
      <w:r w:rsidRPr="00FD7CCB">
        <w:rPr>
          <w:sz w:val="22"/>
          <w:szCs w:val="22"/>
        </w:rPr>
        <w:t>, whichever is less restrictive, respectively.</w:t>
      </w:r>
    </w:p>
    <w:p w:rsidR="00FD7CCB" w:rsidRPr="00FD7CCB" w:rsidRDefault="00FD7CCB" w:rsidP="00FD7CCB">
      <w:pPr>
        <w:pStyle w:val="NormalWeb"/>
        <w:rPr>
          <w:sz w:val="22"/>
          <w:szCs w:val="22"/>
        </w:rPr>
      </w:pPr>
      <w:r w:rsidRPr="00FD7CCB">
        <w:rPr>
          <w:i/>
          <w:iCs/>
          <w:sz w:val="22"/>
          <w:szCs w:val="22"/>
        </w:rPr>
        <w:t>10.2 Post-Sampling Calibration Check.</w:t>
      </w:r>
      <w:r w:rsidRPr="00FD7CCB">
        <w:rPr>
          <w:sz w:val="22"/>
          <w:szCs w:val="22"/>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11.0 Analytical Procedure</w:t>
      </w:r>
    </w:p>
    <w:p w:rsidR="00FD7CCB" w:rsidRPr="00FD7CCB" w:rsidRDefault="00FD7CCB" w:rsidP="00FD7CCB">
      <w:pPr>
        <w:pStyle w:val="NormalWeb"/>
        <w:rPr>
          <w:sz w:val="22"/>
          <w:szCs w:val="22"/>
        </w:rPr>
      </w:pPr>
      <w:r w:rsidRPr="00FD7CCB">
        <w:rPr>
          <w:sz w:val="22"/>
          <w:szCs w:val="22"/>
        </w:rPr>
        <w:t>The analytical procedure is fully discussed in Section 8.</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12.0 Calculations and Data Analysis</w:t>
      </w:r>
    </w:p>
    <w:p w:rsidR="00FD7CCB" w:rsidRPr="00FD7CCB" w:rsidRDefault="00FD7CCB" w:rsidP="00FD7CCB">
      <w:pPr>
        <w:pStyle w:val="NormalWeb"/>
        <w:rPr>
          <w:sz w:val="22"/>
          <w:szCs w:val="22"/>
        </w:rPr>
      </w:pPr>
      <w:r w:rsidRPr="00FD7CCB">
        <w:rPr>
          <w:sz w:val="22"/>
          <w:szCs w:val="22"/>
        </w:rPr>
        <w:t>Determine the CO and O</w:t>
      </w:r>
      <w:r w:rsidRPr="00FD7CCB">
        <w:rPr>
          <w:sz w:val="22"/>
          <w:szCs w:val="22"/>
          <w:vertAlign w:val="subscript"/>
        </w:rPr>
        <w:t>2</w:t>
      </w:r>
      <w:r w:rsidRPr="00FD7CCB">
        <w:rPr>
          <w:sz w:val="22"/>
          <w:szCs w:val="22"/>
        </w:rPr>
        <w:t xml:space="preserve"> concentrations for each stack gas sampling run by calculating the mean gas concentrations of the data recorded during the “measurement data phase”.</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13.0 Protocol Performance</w:t>
      </w:r>
    </w:p>
    <w:p w:rsidR="00FD7CCB" w:rsidRPr="00FD7CCB" w:rsidRDefault="00FD7CCB" w:rsidP="00FD7CCB">
      <w:pPr>
        <w:pStyle w:val="NormalWeb"/>
        <w:rPr>
          <w:sz w:val="22"/>
          <w:szCs w:val="22"/>
        </w:rPr>
      </w:pPr>
      <w:r w:rsidRPr="00FD7CCB">
        <w:rPr>
          <w:sz w:val="22"/>
          <w:szCs w:val="22"/>
        </w:rPr>
        <w:t>Use the following protocols to verify consistent analyzer performance during each field sampling day.</w:t>
      </w:r>
    </w:p>
    <w:p w:rsidR="00FD7CCB" w:rsidRPr="00FD7CCB" w:rsidRDefault="00FD7CCB" w:rsidP="00FD7CCB">
      <w:pPr>
        <w:pStyle w:val="NormalWeb"/>
        <w:rPr>
          <w:sz w:val="22"/>
          <w:szCs w:val="22"/>
        </w:rPr>
      </w:pPr>
      <w:r w:rsidRPr="00FD7CCB">
        <w:rPr>
          <w:i/>
          <w:iCs/>
          <w:sz w:val="22"/>
          <w:szCs w:val="22"/>
        </w:rPr>
        <w:t>13.1 Measurement Data Phase Performance Check.</w:t>
      </w:r>
      <w:r w:rsidRPr="00FD7CCB">
        <w:rPr>
          <w:sz w:val="22"/>
          <w:szCs w:val="22"/>
        </w:rPr>
        <w:t xml:space="preserve">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rsidR="00FD7CCB" w:rsidRPr="00FD7CCB" w:rsidRDefault="00FD7CCB" w:rsidP="00FD7CCB">
      <w:pPr>
        <w:ind w:firstLine="480"/>
        <w:rPr>
          <w:szCs w:val="22"/>
        </w:rPr>
      </w:pPr>
      <w:r w:rsidRPr="00FD7CCB">
        <w:rPr>
          <w:i/>
          <w:iCs/>
          <w:szCs w:val="22"/>
        </w:rPr>
        <w:t>Example:</w:t>
      </w:r>
      <w:r w:rsidRPr="00FD7CCB">
        <w:rPr>
          <w:szCs w:val="22"/>
        </w:rPr>
        <w:t xml:space="preserve"> A measurement data phase is invalid if the maximum deviation of any single reading comprising that mean is greater than ±2 percent </w:t>
      </w:r>
      <w:r w:rsidRPr="00FD7CCB">
        <w:rPr>
          <w:i/>
          <w:iCs/>
          <w:szCs w:val="22"/>
        </w:rPr>
        <w:t>or</w:t>
      </w:r>
      <w:r w:rsidRPr="00FD7CCB">
        <w:rPr>
          <w:szCs w:val="22"/>
        </w:rPr>
        <w:t xml:space="preserve"> ±1 ppm (the default criteria). For example, if the mean = 30 ppm, single readings of below 29 ppm and above 31 ppm are disallowed). </w:t>
      </w:r>
    </w:p>
    <w:p w:rsidR="00FD7CCB" w:rsidRPr="00FD7CCB" w:rsidRDefault="00FD7CCB" w:rsidP="00FD7CCB">
      <w:pPr>
        <w:pStyle w:val="NormalWeb"/>
        <w:rPr>
          <w:sz w:val="22"/>
          <w:szCs w:val="22"/>
        </w:rPr>
      </w:pPr>
      <w:r w:rsidRPr="00FD7CCB">
        <w:rPr>
          <w:i/>
          <w:iCs/>
          <w:sz w:val="22"/>
          <w:szCs w:val="22"/>
        </w:rPr>
        <w:t>13.2 Interference Check.</w:t>
      </w:r>
      <w:r w:rsidRPr="00FD7CCB">
        <w:rPr>
          <w:sz w:val="22"/>
          <w:szCs w:val="22"/>
        </w:rPr>
        <w:t xml:space="preserve"> Before the initial use of the EC cell and interference gas scrubber in the field, and semi-annually thereafter, challenge the interference gas scrubber with NO and NO</w:t>
      </w:r>
      <w:r w:rsidRPr="00FD7CCB">
        <w:rPr>
          <w:sz w:val="22"/>
          <w:szCs w:val="22"/>
          <w:vertAlign w:val="subscript"/>
        </w:rPr>
        <w:t>2</w:t>
      </w:r>
      <w:r w:rsidRPr="00FD7CCB">
        <w:rPr>
          <w:sz w:val="22"/>
          <w:szCs w:val="22"/>
        </w:rPr>
        <w:t xml:space="preserve"> gas standards that are generally recognized as representative of diesel-fueled engine NO and NO</w:t>
      </w:r>
      <w:r w:rsidRPr="00FD7CCB">
        <w:rPr>
          <w:sz w:val="22"/>
          <w:szCs w:val="22"/>
          <w:vertAlign w:val="subscript"/>
        </w:rPr>
        <w:t>2</w:t>
      </w:r>
      <w:r w:rsidRPr="00FD7CCB">
        <w:rPr>
          <w:sz w:val="22"/>
          <w:szCs w:val="22"/>
        </w:rPr>
        <w:t xml:space="preserve"> emission values. Record the responses displayed by the CO EC cell and other pertinent data on Figure 1 or a similar form.</w:t>
      </w:r>
    </w:p>
    <w:p w:rsidR="00FD7CCB" w:rsidRPr="00FD7CCB" w:rsidRDefault="00FD7CCB" w:rsidP="00FD7CCB">
      <w:pPr>
        <w:pStyle w:val="NormalWeb"/>
        <w:rPr>
          <w:sz w:val="22"/>
          <w:szCs w:val="22"/>
        </w:rPr>
      </w:pPr>
      <w:r w:rsidRPr="00FD7CCB">
        <w:rPr>
          <w:i/>
          <w:iCs/>
          <w:sz w:val="22"/>
          <w:szCs w:val="22"/>
        </w:rPr>
        <w:t>13.2.1 Interference Response.</w:t>
      </w:r>
      <w:r w:rsidRPr="00FD7CCB">
        <w:rPr>
          <w:sz w:val="22"/>
          <w:szCs w:val="22"/>
        </w:rPr>
        <w:t xml:space="preserve"> The combined NO and NO</w:t>
      </w:r>
      <w:r w:rsidRPr="00FD7CCB">
        <w:rPr>
          <w:sz w:val="22"/>
          <w:szCs w:val="22"/>
          <w:vertAlign w:val="subscript"/>
        </w:rPr>
        <w:t>2</w:t>
      </w:r>
      <w:r w:rsidRPr="00FD7CCB">
        <w:rPr>
          <w:sz w:val="22"/>
          <w:szCs w:val="22"/>
        </w:rPr>
        <w:t xml:space="preserve"> interference response should be less than or equal to ±5 percent of the up-scale CO calibration gas concentration.</w:t>
      </w:r>
    </w:p>
    <w:p w:rsidR="00FD7CCB" w:rsidRPr="00FD7CCB" w:rsidRDefault="00FD7CCB" w:rsidP="00FD7CCB">
      <w:pPr>
        <w:pStyle w:val="NormalWeb"/>
        <w:rPr>
          <w:sz w:val="22"/>
          <w:szCs w:val="22"/>
        </w:rPr>
      </w:pPr>
      <w:r w:rsidRPr="00FD7CCB">
        <w:rPr>
          <w:i/>
          <w:iCs/>
          <w:sz w:val="22"/>
          <w:szCs w:val="22"/>
        </w:rPr>
        <w:lastRenderedPageBreak/>
        <w:t>13.3 Repeatability Check.</w:t>
      </w:r>
      <w:r w:rsidRPr="00FD7CCB">
        <w:rPr>
          <w:sz w:val="22"/>
          <w:szCs w:val="22"/>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FD7CCB" w:rsidRPr="00FD7CCB" w:rsidRDefault="00FD7CCB" w:rsidP="00FD7CCB">
      <w:pPr>
        <w:pStyle w:val="NormalWeb"/>
        <w:rPr>
          <w:sz w:val="22"/>
          <w:szCs w:val="22"/>
        </w:rPr>
      </w:pPr>
      <w:r w:rsidRPr="00FD7CCB">
        <w:rPr>
          <w:i/>
          <w:iCs/>
          <w:sz w:val="22"/>
          <w:szCs w:val="22"/>
        </w:rPr>
        <w:t>13.3.1 Repeatability Check Procedure.</w:t>
      </w:r>
      <w:r w:rsidRPr="00FD7CCB">
        <w:rPr>
          <w:sz w:val="22"/>
          <w:szCs w:val="22"/>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FD7CCB" w:rsidRPr="00FD7CCB" w:rsidRDefault="00FD7CCB" w:rsidP="00FD7CCB">
      <w:pPr>
        <w:pStyle w:val="NormalWeb"/>
        <w:rPr>
          <w:sz w:val="22"/>
          <w:szCs w:val="22"/>
        </w:rPr>
      </w:pPr>
      <w:r w:rsidRPr="00FD7CCB">
        <w:rPr>
          <w:i/>
          <w:iCs/>
          <w:sz w:val="22"/>
          <w:szCs w:val="22"/>
        </w:rPr>
        <w:t>13.3.2 Repeatability Check Calculations.</w:t>
      </w:r>
      <w:r w:rsidRPr="00FD7CCB">
        <w:rPr>
          <w:sz w:val="22"/>
          <w:szCs w:val="22"/>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14.0 Pollution Prevention (Reserved)</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15.0 Waste Management (Reserved)</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16.0 Alternative Procedures (Reserved)</w:t>
      </w:r>
    </w:p>
    <w:p w:rsidR="00FD7CCB" w:rsidRPr="00FD7CCB" w:rsidRDefault="00FD7CCB" w:rsidP="00FD7CCB">
      <w:pPr>
        <w:pStyle w:val="Heading1"/>
        <w:rPr>
          <w:rFonts w:ascii="Times New Roman" w:hAnsi="Times New Roman" w:cs="Times New Roman"/>
          <w:b w:val="0"/>
          <w:bCs w:val="0"/>
          <w:smallCaps/>
          <w:sz w:val="22"/>
          <w:szCs w:val="22"/>
        </w:rPr>
      </w:pPr>
      <w:r w:rsidRPr="00FD7CCB">
        <w:rPr>
          <w:rFonts w:ascii="Times New Roman" w:hAnsi="Times New Roman" w:cs="Times New Roman"/>
          <w:b w:val="0"/>
          <w:bCs w:val="0"/>
          <w:smallCaps/>
          <w:sz w:val="22"/>
          <w:szCs w:val="22"/>
        </w:rPr>
        <w:t>17.0 References</w:t>
      </w:r>
    </w:p>
    <w:p w:rsidR="00FD7CCB" w:rsidRPr="00FD7CCB" w:rsidRDefault="00FD7CCB" w:rsidP="00FD7CCB">
      <w:pPr>
        <w:pStyle w:val="NormalWeb"/>
        <w:rPr>
          <w:sz w:val="22"/>
          <w:szCs w:val="22"/>
        </w:rPr>
      </w:pPr>
      <w:r w:rsidRPr="00FD7CCB">
        <w:rPr>
          <w:sz w:val="22"/>
          <w:szCs w:val="22"/>
        </w:rPr>
        <w:t>(1) “Development of an Electrochemical Cell Emission Analyzer Test Protocol”, Topical Report, Phil Juneau, Emission Monitoring, Inc., July 1997.</w:t>
      </w:r>
    </w:p>
    <w:p w:rsidR="00FD7CCB" w:rsidRPr="00FD7CCB" w:rsidRDefault="00FD7CCB" w:rsidP="00FD7CCB">
      <w:pPr>
        <w:pStyle w:val="NormalWeb"/>
        <w:rPr>
          <w:sz w:val="22"/>
          <w:szCs w:val="22"/>
        </w:rPr>
      </w:pPr>
      <w:r w:rsidRPr="00FD7CCB">
        <w:rPr>
          <w:sz w:val="22"/>
          <w:szCs w:val="22"/>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FD7CCB" w:rsidRPr="00FD7CCB" w:rsidRDefault="00FD7CCB" w:rsidP="00FD7CCB">
      <w:pPr>
        <w:pStyle w:val="NormalWeb"/>
        <w:rPr>
          <w:sz w:val="22"/>
          <w:szCs w:val="22"/>
        </w:rPr>
      </w:pPr>
      <w:r w:rsidRPr="00FD7CCB">
        <w:rPr>
          <w:sz w:val="22"/>
          <w:szCs w:val="22"/>
        </w:rPr>
        <w:t>(3) “ICAC Test Protocol for Periodic Monitoring”, EMC Conditional Test Protocol 34 (CTM-034), The Institute of Clean Air Companies, September 8, 1999.</w:t>
      </w:r>
    </w:p>
    <w:p w:rsidR="00FD7CCB" w:rsidRPr="00FD7CCB" w:rsidRDefault="00FD7CCB" w:rsidP="00FD7CCB">
      <w:pPr>
        <w:pStyle w:val="NormalWeb"/>
        <w:rPr>
          <w:sz w:val="22"/>
          <w:szCs w:val="22"/>
        </w:rPr>
      </w:pPr>
      <w:r w:rsidRPr="00FD7CCB">
        <w:rPr>
          <w:sz w:val="22"/>
          <w:szCs w:val="22"/>
        </w:rPr>
        <w:t>(4) “Code of Federal Regulations”, Protection of Environment, 40 CFR, Part 60, Appendix A, Methods 1-4; 10.</w:t>
      </w:r>
    </w:p>
    <w:p w:rsidR="00FD7CCB" w:rsidRPr="00FD7CCB" w:rsidRDefault="00FD7CCB" w:rsidP="00FD7CCB">
      <w:pPr>
        <w:pStyle w:val="gpotbltitle"/>
        <w:jc w:val="left"/>
        <w:rPr>
          <w:sz w:val="22"/>
          <w:szCs w:val="22"/>
        </w:rPr>
      </w:pPr>
      <w:r w:rsidRPr="00FD7CCB">
        <w:rPr>
          <w:sz w:val="22"/>
          <w:szCs w:val="22"/>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63"/>
        <w:gridCol w:w="858"/>
        <w:gridCol w:w="1114"/>
        <w:gridCol w:w="298"/>
        <w:gridCol w:w="387"/>
        <w:gridCol w:w="298"/>
        <w:gridCol w:w="387"/>
        <w:gridCol w:w="298"/>
        <w:gridCol w:w="168"/>
        <w:gridCol w:w="168"/>
        <w:gridCol w:w="1997"/>
        <w:gridCol w:w="464"/>
        <w:gridCol w:w="464"/>
        <w:gridCol w:w="1746"/>
      </w:tblGrid>
      <w:tr w:rsidR="00FD7CCB" w:rsidRPr="00FD7CCB" w:rsidTr="00FD7CCB">
        <w:trPr>
          <w:jc w:val="center"/>
        </w:trPr>
        <w:tc>
          <w:tcPr>
            <w:tcW w:w="0" w:type="auto"/>
            <w:gridSpan w:val="14"/>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Facility__________      Engine I.D.__________      Date______</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Run Type: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(_)</w:t>
            </w:r>
          </w:p>
        </w:tc>
        <w:tc>
          <w:tcPr>
            <w:tcW w:w="0" w:type="auto"/>
            <w:gridSpan w:val="6"/>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(_)</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(_)</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(X)</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Pre-Sample Calibration</w:t>
            </w:r>
          </w:p>
        </w:tc>
        <w:tc>
          <w:tcPr>
            <w:tcW w:w="0" w:type="auto"/>
            <w:gridSpan w:val="6"/>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Stack Gas Sample</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Repeatability Check</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Run #</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4</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Flow- Rate</w:t>
            </w: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lastRenderedPageBreak/>
              <w:t>Gas</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O</w:t>
            </w:r>
            <w:r w:rsidRPr="00FD7CCB">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O</w:t>
            </w:r>
            <w:r w:rsidRPr="00FD7CCB">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O</w:t>
            </w:r>
            <w:r w:rsidRPr="00FD7CCB">
              <w:rPr>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O</w:t>
            </w:r>
            <w:r w:rsidRPr="00FD7CCB">
              <w:rPr>
                <w:szCs w:val="22"/>
                <w:vertAlign w:val="subscript"/>
              </w:rPr>
              <w:t>2</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CO</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Sample Cond.</w:t>
            </w:r>
            <w:r w:rsidRPr="00FD7CCB">
              <w:rPr>
                <w:szCs w:val="22"/>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Measurement</w:t>
            </w:r>
            <w:r w:rsidRPr="00FD7CCB">
              <w:rPr>
                <w:szCs w:val="22"/>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Mean</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Refresh</w:t>
            </w:r>
            <w:r w:rsidRPr="00FD7CCB">
              <w:rPr>
                <w:szCs w:val="22"/>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r w:rsidR="00FD7CCB" w:rsidRPr="00FD7CCB" w:rsidTr="00FD7CC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r w:rsidRPr="00FD7CCB">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FD7CCB" w:rsidRPr="00FD7CCB" w:rsidRDefault="00FD7CCB" w:rsidP="00FD7CCB">
            <w:pPr>
              <w:rPr>
                <w:szCs w:val="22"/>
              </w:rPr>
            </w:pPr>
          </w:p>
        </w:tc>
      </w:tr>
    </w:tbl>
    <w:p w:rsidR="00FD7CCB" w:rsidRPr="00FD7CCB" w:rsidRDefault="00FD7CCB" w:rsidP="00FD7CCB">
      <w:pPr>
        <w:rPr>
          <w:szCs w:val="22"/>
        </w:rPr>
      </w:pPr>
      <w:r w:rsidRPr="00FD7CCB">
        <w:rPr>
          <w:szCs w:val="22"/>
        </w:rPr>
        <w:t>[78 FR 6721, Jan. 30, 2013]</w:t>
      </w:r>
    </w:p>
    <w:p w:rsidR="00FB69B7" w:rsidRDefault="00FB69B7" w:rsidP="00FB69B7">
      <w:hyperlink w:anchor="TOC" w:history="1">
        <w:r w:rsidRPr="00BD6F2F">
          <w:rPr>
            <w:rStyle w:val="Hyperlink"/>
          </w:rPr>
          <w:t xml:space="preserve">Table </w:t>
        </w:r>
        <w:r w:rsidRPr="00BD6F2F">
          <w:rPr>
            <w:rStyle w:val="Hyperlink"/>
          </w:rPr>
          <w:t>o</w:t>
        </w:r>
        <w:r w:rsidRPr="00BD6F2F">
          <w:rPr>
            <w:rStyle w:val="Hyperlink"/>
          </w:rPr>
          <w:t>f Contents</w:t>
        </w:r>
      </w:hyperlink>
    </w:p>
    <w:p w:rsidR="00FD7CCB" w:rsidRDefault="00FD7CCB" w:rsidP="00980694">
      <w:pPr>
        <w:rPr>
          <w:sz w:val="20"/>
        </w:rPr>
      </w:pPr>
    </w:p>
    <w:p w:rsidR="00FD7CCB" w:rsidRPr="0025007A" w:rsidRDefault="00FD7CCB" w:rsidP="00980694">
      <w:pPr>
        <w:rPr>
          <w:sz w:val="20"/>
        </w:rPr>
        <w:sectPr w:rsidR="00FD7CCB" w:rsidRPr="0025007A" w:rsidSect="00A62117">
          <w:headerReference w:type="default" r:id="rId48"/>
          <w:footerReference w:type="default" r:id="rId49"/>
          <w:pgSz w:w="12240" w:h="15840" w:code="1"/>
          <w:pgMar w:top="1440" w:right="1080" w:bottom="1440" w:left="1080" w:header="720" w:footer="576" w:gutter="0"/>
          <w:paperSrc w:first="264" w:other="264"/>
          <w:pgNumType w:start="1"/>
          <w:cols w:space="720"/>
          <w:docGrid w:linePitch="299"/>
        </w:sectPr>
      </w:pP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bookmarkStart w:id="99" w:name="RR"/>
      <w:r w:rsidRPr="00673963">
        <w:rPr>
          <w:sz w:val="20"/>
          <w:u w:val="single"/>
        </w:rPr>
        <w:lastRenderedPageBreak/>
        <w:t>Reporting Schedule</w:t>
      </w:r>
      <w:bookmarkEnd w:id="99"/>
      <w:r w:rsidRPr="00673963">
        <w:rPr>
          <w:sz w:val="20"/>
        </w:rPr>
        <w:t>.</w:t>
      </w:r>
      <w:r w:rsidRPr="00673963">
        <w:rPr>
          <w:sz w:val="20"/>
        </w:rPr>
        <w:tab/>
      </w:r>
      <w:r w:rsidRPr="00673963">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rsidTr="000D2331">
        <w:tc>
          <w:tcPr>
            <w:tcW w:w="360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Related Condition(s)</w:t>
            </w:r>
          </w:p>
        </w:tc>
      </w:tr>
      <w:tr w:rsidR="0064617F" w:rsidRPr="000551B3" w:rsidTr="000D2331">
        <w:trPr>
          <w:trHeight w:val="278"/>
        </w:trPr>
        <w:tc>
          <w:tcPr>
            <w:tcW w:w="3600" w:type="dxa"/>
            <w:tcBorders>
              <w:top w:val="single" w:sz="12"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Immediately upon occurrence (See RR</w:t>
            </w:r>
            <w:proofErr w:type="gramStart"/>
            <w:r w:rsidRPr="00673963">
              <w:rPr>
                <w:sz w:val="20"/>
              </w:rPr>
              <w:t>2.d.</w:t>
            </w:r>
            <w:proofErr w:type="gramEnd"/>
            <w:r w:rsidRPr="00673963">
              <w:rPr>
                <w:sz w:val="20"/>
              </w:rPr>
              <w:t>)</w:t>
            </w:r>
          </w:p>
        </w:tc>
        <w:tc>
          <w:tcPr>
            <w:tcW w:w="1440" w:type="dxa"/>
            <w:tcBorders>
              <w:top w:val="single" w:sz="12"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RR2, RR3</w:t>
            </w:r>
          </w:p>
        </w:tc>
      </w:tr>
      <w:tr w:rsidR="0064617F" w:rsidRPr="000551B3" w:rsidTr="000D2331">
        <w:trPr>
          <w:trHeight w:val="278"/>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RR3</w:t>
            </w:r>
          </w:p>
        </w:tc>
      </w:tr>
      <w:tr w:rsidR="0064617F" w:rsidRPr="000551B3"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RR4</w:t>
            </w:r>
          </w:p>
        </w:tc>
      </w:tr>
      <w:tr w:rsidR="0064617F" w:rsidRPr="000551B3"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RR5</w:t>
            </w:r>
          </w:p>
        </w:tc>
      </w:tr>
      <w:tr w:rsidR="0064617F" w:rsidRPr="00A34EB8" w:rsidTr="000D2331">
        <w:trPr>
          <w:trHeight w:val="197"/>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RR6</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Within 60 days after the end of each calendar year (or more frequently if specified by Rule 62-213.440(2), F.A.C., or by any other applicable requirement); and</w:t>
            </w:r>
          </w:p>
          <w:p w:rsidR="0064617F" w:rsidRPr="00673963" w:rsidRDefault="0064617F" w:rsidP="00A26379">
            <w:pPr>
              <w:pStyle w:val="BodyText"/>
              <w:tabs>
                <w:tab w:val="left" w:pos="0"/>
                <w:tab w:val="left" w:pos="1080"/>
              </w:tabs>
              <w:rPr>
                <w:sz w:val="20"/>
              </w:rPr>
            </w:pPr>
            <w:r w:rsidRPr="00673963">
              <w:rPr>
                <w:sz w:val="20"/>
              </w:rPr>
              <w:t>Within 60 days after submittal of a written agreement for transfer of responsibility, or</w:t>
            </w:r>
          </w:p>
          <w:p w:rsidR="0064617F" w:rsidRPr="00673963" w:rsidRDefault="0064617F" w:rsidP="000D2331">
            <w:pPr>
              <w:tabs>
                <w:tab w:val="left" w:pos="360"/>
                <w:tab w:val="left" w:pos="720"/>
                <w:tab w:val="left" w:pos="1080"/>
                <w:tab w:val="left" w:pos="1440"/>
                <w:tab w:val="left" w:pos="1800"/>
                <w:tab w:val="left" w:pos="2160"/>
              </w:tabs>
              <w:spacing w:line="-240" w:lineRule="auto"/>
              <w:rPr>
                <w:b/>
                <w:sz w:val="20"/>
              </w:rPr>
            </w:pPr>
            <w:r w:rsidRPr="00673963">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RR7</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RR8</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RR9</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0D2331">
            <w:pPr>
              <w:pStyle w:val="BodyText"/>
              <w:tabs>
                <w:tab w:val="left" w:pos="0"/>
                <w:tab w:val="left" w:pos="1080"/>
              </w:tabs>
              <w:spacing w:after="0"/>
              <w:rPr>
                <w:sz w:val="20"/>
              </w:rPr>
            </w:pPr>
            <w:r w:rsidRPr="00673963">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B81C38">
            <w:pPr>
              <w:tabs>
                <w:tab w:val="left" w:pos="360"/>
                <w:tab w:val="left" w:pos="720"/>
                <w:tab w:val="left" w:pos="1080"/>
                <w:tab w:val="left" w:pos="1440"/>
                <w:tab w:val="left" w:pos="1800"/>
                <w:tab w:val="left" w:pos="2160"/>
              </w:tabs>
              <w:spacing w:line="-240" w:lineRule="auto"/>
              <w:jc w:val="center"/>
              <w:rPr>
                <w:sz w:val="20"/>
              </w:rPr>
            </w:pPr>
            <w:r w:rsidRPr="00673963">
              <w:rPr>
                <w:sz w:val="20"/>
              </w:rPr>
              <w:t>TV1</w:t>
            </w:r>
            <w:r w:rsidR="00B81C38">
              <w:rPr>
                <w:sz w:val="20"/>
              </w:rPr>
              <w:t>8</w:t>
            </w:r>
          </w:p>
        </w:tc>
      </w:tr>
      <w:tr w:rsidR="0064617F" w:rsidRPr="000551B3" w:rsidTr="000D2331">
        <w:tc>
          <w:tcPr>
            <w:tcW w:w="3600" w:type="dxa"/>
            <w:tcBorders>
              <w:top w:val="single" w:sz="8" w:space="0" w:color="auto"/>
              <w:left w:val="single" w:sz="12" w:space="0" w:color="auto"/>
              <w:bottom w:val="single" w:sz="12" w:space="0" w:color="auto"/>
              <w:right w:val="single" w:sz="12" w:space="0" w:color="auto"/>
            </w:tcBorders>
          </w:tcPr>
          <w:p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rsidR="0064617F" w:rsidRPr="00673963" w:rsidRDefault="0064617F" w:rsidP="000D2331">
            <w:pPr>
              <w:pStyle w:val="BodyText"/>
              <w:tabs>
                <w:tab w:val="left" w:pos="0"/>
                <w:tab w:val="left" w:pos="1080"/>
              </w:tabs>
              <w:spacing w:after="0"/>
              <w:rPr>
                <w:sz w:val="20"/>
              </w:rPr>
            </w:pPr>
            <w:r w:rsidRPr="00673963">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TR8</w:t>
            </w:r>
          </w:p>
        </w:tc>
      </w:tr>
    </w:tbl>
    <w:p w:rsidR="0064617F" w:rsidRPr="00673963"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673963">
        <w:rPr>
          <w:i/>
          <w:sz w:val="20"/>
        </w:rPr>
        <w:t>{Permitting Note:  See permit Section III.  Emissions Units and Specific Conditions, for any additional Emission Unit-specific reporting requirements.}</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673963">
        <w:rPr>
          <w:sz w:val="20"/>
          <w:u w:val="single"/>
        </w:rPr>
        <w:t>Reports of Problems</w:t>
      </w:r>
      <w:r w:rsidRPr="00673963">
        <w:rPr>
          <w:sz w:val="20"/>
        </w:rPr>
        <w:t>.</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673963">
        <w:rPr>
          <w:sz w:val="20"/>
        </w:rPr>
        <w:t xml:space="preserve">If, for any reason, the permittee does not comply with or will be unable to comply with any condition or limitation specified in this permit, the permittee shall immediately provide the Department with the following information:  </w:t>
      </w:r>
    </w:p>
    <w:p w:rsidR="0064617F" w:rsidRPr="00673963"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673963">
        <w:rPr>
          <w:sz w:val="20"/>
        </w:rPr>
        <w:t>A description of and cause of noncompliance; and</w:t>
      </w:r>
    </w:p>
    <w:p w:rsidR="0064617F" w:rsidRPr="00673963"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673963">
        <w:rPr>
          <w:sz w:val="20"/>
        </w:rPr>
        <w:t xml:space="preserve">The period of noncompliance, including dates and times; or, if not corrected, the anticipated time the noncompliance is expected to continue, and steps being taken to reduce, eliminate, and prevent recurrence of the noncompliance.  The permittee shall be responsible for </w:t>
      </w:r>
      <w:proofErr w:type="gramStart"/>
      <w:r w:rsidRPr="00673963">
        <w:rPr>
          <w:sz w:val="20"/>
        </w:rPr>
        <w:t>any and all</w:t>
      </w:r>
      <w:proofErr w:type="gramEnd"/>
      <w:r w:rsidRPr="00673963">
        <w:rPr>
          <w:sz w:val="20"/>
        </w:rPr>
        <w:t xml:space="preserve"> damages which may result and may be subject to enforcement action by the Department for penalties or for revocation of this permit.</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“Immediately” shall mean the same day, if during a workday (i.e., 8:00 a.m. - 5:00 p.m.), or the first business day after the incident, excluding weekends and holidays; and, for purposes of Rule 62-4.160(15) and 40 CFR 70.6(a)(3)(iii)(B), “promptly” or "prompt</w:t>
      </w:r>
      <w:proofErr w:type="gramStart"/>
      <w:r w:rsidRPr="00673963">
        <w:rPr>
          <w:sz w:val="20"/>
        </w:rPr>
        <w:t>"  shall</w:t>
      </w:r>
      <w:proofErr w:type="gramEnd"/>
      <w:r w:rsidRPr="00673963">
        <w:rPr>
          <w:sz w:val="20"/>
        </w:rPr>
        <w:t xml:space="preserve"> have the same meaning as "immediately".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 62-4.130, Rule 62-4.160(8), Rule 62-4.160(15), and Rule 62-213.440(1)(b), F.A.C.; 40 CFR 70.6(a)(3)(iii)(B)]</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lastRenderedPageBreak/>
        <w:t>Reports of Deviations from Permit Requirements</w:t>
      </w:r>
      <w:r w:rsidRPr="00673963">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64617F" w:rsidRPr="00673963" w:rsidRDefault="0064617F" w:rsidP="0064617F">
      <w:pPr>
        <w:autoSpaceDE w:val="0"/>
        <w:autoSpaceDN w:val="0"/>
        <w:adjustRightInd w:val="0"/>
        <w:ind w:left="360"/>
        <w:rPr>
          <w:sz w:val="20"/>
        </w:rPr>
      </w:pPr>
      <w:r w:rsidRPr="00673963">
        <w:rPr>
          <w:i/>
          <w:sz w:val="20"/>
        </w:rPr>
        <w:t>Rule 62-210.700(6)</w:t>
      </w:r>
      <w:r w:rsidRPr="00673963">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62-213.440(1)(b)</w:t>
      </w:r>
      <w:proofErr w:type="gramStart"/>
      <w:r w:rsidRPr="00673963">
        <w:rPr>
          <w:sz w:val="20"/>
        </w:rPr>
        <w:t>3.b.</w:t>
      </w:r>
      <w:proofErr w:type="gramEnd"/>
      <w:r w:rsidRPr="00673963">
        <w:rPr>
          <w:sz w:val="20"/>
        </w:rPr>
        <w:t>, and 62-210.700(6)F.A.C.]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Semi-Annual Monitoring Reports</w:t>
      </w:r>
      <w:r w:rsidRPr="00673963">
        <w:rPr>
          <w:sz w:val="20"/>
        </w:rPr>
        <w:t>.  The permittee shall submit reports of any required monitoring at least every six (6) months.  All instances of deviations from permit requirements must be clearly identified in such reports.  [Rule 62-213.440(1)(b)</w:t>
      </w:r>
      <w:proofErr w:type="gramStart"/>
      <w:r w:rsidRPr="00673963">
        <w:rPr>
          <w:sz w:val="20"/>
        </w:rPr>
        <w:t>3.a.</w:t>
      </w:r>
      <w:proofErr w:type="gramEnd"/>
      <w:r w:rsidRPr="00673963">
        <w:rPr>
          <w:sz w:val="20"/>
        </w:rPr>
        <w:t>,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Annual Operating Report</w:t>
      </w:r>
      <w:r w:rsidRPr="00673963">
        <w:rPr>
          <w:sz w:val="20"/>
        </w:rPr>
        <w:t xml:space="preserve">.  </w:t>
      </w:r>
      <w:r w:rsidRPr="00673963">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673963">
        <w:rPr>
          <w:bCs/>
          <w:sz w:val="20"/>
        </w:rPr>
        <w:t xml:space="preserve">  </w:t>
      </w:r>
      <w:r w:rsidRPr="00673963">
        <w:rPr>
          <w:sz w:val="20"/>
        </w:rPr>
        <w:t xml:space="preserve">[Rules 62-210.370(2) &amp; (3), 62-210.900 and 62-213.440(3)(a)2., F.A.C.]  </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EAOR Title V</w:t>
      </w:r>
      <w:r w:rsidRPr="00673963">
        <w:rPr>
          <w:sz w:val="20"/>
        </w:rPr>
        <w:t xml:space="preserve"> </w:t>
      </w:r>
      <w:r w:rsidRPr="00673963">
        <w:rPr>
          <w:sz w:val="20"/>
          <w:u w:val="single"/>
        </w:rPr>
        <w:t>Annual Emissions Fee Invoice and Fee Payment</w:t>
      </w:r>
      <w:r w:rsidRPr="00673963">
        <w:rPr>
          <w:sz w:val="20"/>
        </w:rPr>
        <w:t>.  Each Title V source permitted to operate in Florida must pay between January 15 and April 1 of each year, an annual emissions fee in an amount determined as set forth in Rule 62-213.205(1), F.A.C.</w:t>
      </w:r>
    </w:p>
    <w:p w:rsidR="0064617F" w:rsidRPr="00673963" w:rsidRDefault="0064617F" w:rsidP="00750F0D">
      <w:pPr>
        <w:numPr>
          <w:ilvl w:val="0"/>
          <w:numId w:val="5"/>
        </w:numPr>
        <w:tabs>
          <w:tab w:val="left" w:pos="360"/>
          <w:tab w:val="left" w:pos="1440"/>
          <w:tab w:val="left" w:pos="1800"/>
          <w:tab w:val="left" w:pos="2160"/>
        </w:tabs>
        <w:spacing w:line="-240" w:lineRule="auto"/>
        <w:rPr>
          <w:sz w:val="20"/>
        </w:rPr>
      </w:pPr>
      <w:r w:rsidRPr="00673963">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 xml:space="preserve">A copy of the EAOR Title V Annual Emissions Fee Invoice generated by the electronic annual operating report (EAOR) application, must be submitted along with the annual emissions fee payment.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62-210.370(3), 62-210.</w:t>
      </w:r>
      <w:proofErr w:type="gramStart"/>
      <w:r w:rsidRPr="00673963">
        <w:rPr>
          <w:sz w:val="20"/>
        </w:rPr>
        <w:t>900  and</w:t>
      </w:r>
      <w:proofErr w:type="gramEnd"/>
      <w:r w:rsidRPr="00673963">
        <w:rPr>
          <w:sz w:val="20"/>
        </w:rPr>
        <w:t xml:space="preserve"> 62-213.205,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Annual Statement of Compliance</w:t>
      </w:r>
      <w:r w:rsidRPr="00673963">
        <w:rPr>
          <w:sz w:val="20"/>
        </w:rPr>
        <w:t xml:space="preserve">.  </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673963">
        <w:rPr>
          <w:sz w:val="20"/>
        </w:rPr>
        <w:t>2</w:t>
      </w:r>
      <w:r w:rsidRPr="00673963">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rsidR="0064617F" w:rsidRPr="00673963" w:rsidRDefault="0064617F" w:rsidP="00750F0D">
      <w:pPr>
        <w:pStyle w:val="BodyText"/>
        <w:numPr>
          <w:ilvl w:val="1"/>
          <w:numId w:val="7"/>
        </w:numPr>
        <w:tabs>
          <w:tab w:val="left" w:pos="360"/>
          <w:tab w:val="left" w:pos="720"/>
          <w:tab w:val="left" w:pos="1080"/>
        </w:tabs>
        <w:spacing w:after="0"/>
        <w:ind w:left="1080"/>
        <w:rPr>
          <w:sz w:val="20"/>
        </w:rPr>
      </w:pPr>
      <w:r w:rsidRPr="00673963">
        <w:rPr>
          <w:sz w:val="20"/>
        </w:rPr>
        <w:t>Annually, within 60 days after the end of each calendar year during which the Title V permit was effective, or more frequently if specified by Rule 62-213.440(2), F.A.C., or by any other applicable requirement; and</w:t>
      </w:r>
    </w:p>
    <w:p w:rsidR="0064617F" w:rsidRPr="00673963"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673963">
        <w:rPr>
          <w:sz w:val="20"/>
        </w:rPr>
        <w:lastRenderedPageBreak/>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In lieu of individually identifying all applicable requirements and specifying times of compliance with, non-compliance with, and deviation from each, the responsible official may use DEP Form No. 62-213.900(</w:t>
      </w:r>
      <w:r w:rsidR="00567FDE" w:rsidRPr="00673963">
        <w:rPr>
          <w:sz w:val="20"/>
        </w:rPr>
        <w:t>2</w:t>
      </w:r>
      <w:r w:rsidRPr="00673963">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responsible official may treat compliance with all other applicable requirements as a surrogate for compliance with Rule 62-296.320(2), Objectionable Odor Prohibited.</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62-213.440(3)(a)2. &amp; 3. and (b),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Administrative Permit Corrections</w:t>
      </w:r>
      <w:r w:rsidRPr="00673963">
        <w:rPr>
          <w:sz w:val="20"/>
        </w:rPr>
        <w:t>.</w:t>
      </w:r>
    </w:p>
    <w:p w:rsidR="0064617F" w:rsidRPr="00673963" w:rsidRDefault="0064617F" w:rsidP="000D2331">
      <w:pPr>
        <w:tabs>
          <w:tab w:val="left" w:pos="360"/>
          <w:tab w:val="left" w:pos="1080"/>
          <w:tab w:val="left" w:pos="1440"/>
          <w:tab w:val="left" w:pos="1800"/>
          <w:tab w:val="left" w:pos="2160"/>
        </w:tabs>
        <w:ind w:left="360"/>
        <w:rPr>
          <w:sz w:val="20"/>
        </w:rPr>
      </w:pPr>
      <w:r w:rsidRPr="00673963">
        <w:rPr>
          <w:sz w:val="20"/>
        </w:rPr>
        <w:t>A facility owner shall notify the Department by letter of minor corrections to information contained in a permit.  Such notifications shall include:</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 xml:space="preserve">Typographical errors noted in the permit; </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Name, address or phone number change from that in the permit;</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requiring more frequent monitoring or reporting by the permittee;</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in ownership or operational control of a facility, subject to the following provisions:</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Department determines that no other change in the permit is necessary;</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 xml:space="preserve">The permittee and proposed new permittee have </w:t>
      </w:r>
      <w:proofErr w:type="gramStart"/>
      <w:r w:rsidRPr="00673963">
        <w:rPr>
          <w:sz w:val="20"/>
        </w:rPr>
        <w:t>submitted an Application</w:t>
      </w:r>
      <w:proofErr w:type="gramEnd"/>
      <w:r w:rsidRPr="00673963">
        <w:rPr>
          <w:sz w:val="20"/>
        </w:rPr>
        <w:t xml:space="preserve"> for Transfer of Air Permit, and the Department has approved the transfer pursuant to Rule 62-210.300(7), F.A.C.; and</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new permittee has notified the Department of the effective date of sale or legal transfer.</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w:t>
      </w:r>
      <w:proofErr w:type="gramStart"/>
      <w:r w:rsidRPr="00673963">
        <w:rPr>
          <w:sz w:val="20"/>
        </w:rPr>
        <w:t>)(</w:t>
      </w:r>
      <w:proofErr w:type="gramEnd"/>
      <w:r w:rsidRPr="00673963">
        <w:rPr>
          <w:sz w:val="20"/>
        </w:rPr>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Any other similar minor administrative change at the source.</w:t>
      </w:r>
    </w:p>
    <w:p w:rsidR="0064617F" w:rsidRPr="00673963"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673963">
        <w:rPr>
          <w:sz w:val="20"/>
        </w:rPr>
        <w:t>[Rule 62-210.360,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Startup</w:t>
      </w:r>
      <w:r w:rsidRPr="00673963">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If, due to an emergency, a startup date is not known 60 days prior thereto, the owner shall notify the Department as soon as possible after the date of such startup is ascertained.</w:t>
      </w:r>
    </w:p>
    <w:p w:rsidR="0064617F" w:rsidRPr="00673963"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673963">
        <w:rPr>
          <w:sz w:val="20"/>
        </w:rPr>
        <w:t>[Rule 62-210.300(5),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Submission</w:t>
      </w:r>
      <w:r w:rsidRPr="00673963">
        <w:rPr>
          <w:sz w:val="20"/>
        </w:rPr>
        <w:t>.  The permittee shall submit all compliance related notifications and reports required of this permit to the Compliance Authority.  {See front of permit for address and phone number.}</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673963">
        <w:rPr>
          <w:sz w:val="20"/>
          <w:u w:val="single"/>
        </w:rPr>
        <w:t>EPA Report Submission</w:t>
      </w:r>
      <w:r w:rsidRPr="00673963">
        <w:rPr>
          <w:sz w:val="20"/>
        </w:rPr>
        <w:t xml:space="preserve">.  Any reports, data, notifications, certifications, and requests required to be sent to the United States Environmental Protection Agency, Region 4, should be sent to:  Air, Pesticides &amp; Toxics Management Division, </w:t>
      </w:r>
      <w:r w:rsidRPr="00673963">
        <w:rPr>
          <w:color w:val="000000"/>
          <w:sz w:val="20"/>
        </w:rPr>
        <w:t>United States Environmental Protection Agency, Region 4, Sam Nunn Atlanta Federal Center, 61 Forsyth Street SW, Atlanta, GA  30303-8960.  Phone:  404/562-9077.</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Acid Rain Report Submission</w:t>
      </w:r>
      <w:r w:rsidRPr="00673963">
        <w:rPr>
          <w:sz w:val="20"/>
        </w:rPr>
        <w:t xml:space="preserve">.  Acid Rain Program Information shall be submitted, as necessary, to:  Department of Environmental Protection, 2600 Blair Stone Road, Mail Station #5510, Tallahassee, </w:t>
      </w:r>
      <w:proofErr w:type="gramStart"/>
      <w:r w:rsidRPr="00673963">
        <w:rPr>
          <w:sz w:val="20"/>
        </w:rPr>
        <w:t>Florida  32399</w:t>
      </w:r>
      <w:proofErr w:type="gramEnd"/>
      <w:r w:rsidRPr="00673963">
        <w:rPr>
          <w:sz w:val="20"/>
        </w:rPr>
        <w:t>-2400.  Phone:  850/488-6140.  Fax:  850/922-6979.</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lastRenderedPageBreak/>
        <w:t>Report Certification</w:t>
      </w:r>
      <w:r w:rsidRPr="00673963">
        <w:rPr>
          <w:sz w:val="20"/>
        </w:rPr>
        <w:t>.  All reports shall be accompanied by a certification by a responsible official, pursuant to Rule 62-213.420(4), F.A.C.  [Rule 62-213.440(1)(b)3.c,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Certification by Responsible Official (RO)</w:t>
      </w:r>
      <w:r w:rsidRPr="00673963">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Confidential Information</w:t>
      </w:r>
      <w:r w:rsidRPr="00673963">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Forms and Instructions</w:t>
      </w:r>
      <w:r w:rsidRPr="00673963">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w:t>
      </w:r>
      <w:proofErr w:type="gramStart"/>
      <w:r w:rsidRPr="00673963">
        <w:rPr>
          <w:sz w:val="20"/>
        </w:rPr>
        <w:t>Florida  32399</w:t>
      </w:r>
      <w:proofErr w:type="gramEnd"/>
      <w:r w:rsidRPr="00673963">
        <w:rPr>
          <w:sz w:val="20"/>
        </w:rPr>
        <w:t xml:space="preserve">-2400, by contacting the appropriate permitting authority or by accessing the Department’s web site at: </w:t>
      </w:r>
      <w:hyperlink r:id="rId50" w:history="1">
        <w:r w:rsidRPr="00673963">
          <w:rPr>
            <w:rStyle w:val="Hyperlink"/>
            <w:sz w:val="20"/>
          </w:rPr>
          <w:t>http://www.dep.state.fl.us/air/rules/forms.htm</w:t>
        </w:r>
      </w:hyperlink>
      <w:r w:rsidRPr="00673963">
        <w:rPr>
          <w:sz w:val="20"/>
        </w:rPr>
        <w:t xml:space="preserve">. </w:t>
      </w:r>
    </w:p>
    <w:p w:rsidR="0064617F" w:rsidRPr="00673963"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673963">
        <w:rPr>
          <w:bCs/>
          <w:sz w:val="20"/>
        </w:rPr>
        <w:t>Annual Operating Report for Air Pollutant Emitting Facility [Including Title V Source Emissions Fee Calculation] (DEP Form No. 62-210.900(5)) (Effective 12/31/2013)</w:t>
      </w:r>
    </w:p>
    <w:p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Statement of Compliance Form (Effective 06/02/2002).</w:t>
      </w:r>
    </w:p>
    <w:p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Responsible Official Notification Form (Effective 06/02/2002).</w:t>
      </w:r>
    </w:p>
    <w:p w:rsidR="0064617F" w:rsidRPr="00673963" w:rsidRDefault="0064617F" w:rsidP="00673963">
      <w:pPr>
        <w:tabs>
          <w:tab w:val="left" w:pos="360"/>
        </w:tabs>
        <w:spacing w:after="120"/>
        <w:ind w:left="360"/>
        <w:rPr>
          <w:sz w:val="20"/>
        </w:rPr>
      </w:pPr>
      <w:r w:rsidRPr="00673963">
        <w:rPr>
          <w:sz w:val="20"/>
        </w:rPr>
        <w:t>[Rule 62-213.900, F.A.C.:  Forms (1), (7) and (8)]</w:t>
      </w:r>
    </w:p>
    <w:p w:rsidR="00980694" w:rsidRDefault="00980694">
      <w:pPr>
        <w:rPr>
          <w:sz w:val="20"/>
        </w:rPr>
      </w:pPr>
    </w:p>
    <w:p w:rsidR="00FB69B7" w:rsidRDefault="00FB69B7" w:rsidP="00FB69B7">
      <w:hyperlink w:anchor="TOC" w:history="1">
        <w:r w:rsidRPr="00BD6F2F">
          <w:rPr>
            <w:rStyle w:val="Hyperlink"/>
          </w:rPr>
          <w:t>Table of C</w:t>
        </w:r>
        <w:r w:rsidRPr="00BD6F2F">
          <w:rPr>
            <w:rStyle w:val="Hyperlink"/>
          </w:rPr>
          <w:t>o</w:t>
        </w:r>
        <w:r w:rsidRPr="00BD6F2F">
          <w:rPr>
            <w:rStyle w:val="Hyperlink"/>
          </w:rPr>
          <w:t>ntents</w:t>
        </w:r>
      </w:hyperlink>
    </w:p>
    <w:p w:rsidR="00BD6F2F" w:rsidRDefault="00BD6F2F">
      <w:pPr>
        <w:rPr>
          <w:sz w:val="20"/>
        </w:rPr>
      </w:pPr>
    </w:p>
    <w:p w:rsidR="00BD6F2F" w:rsidRPr="00673963" w:rsidRDefault="00BD6F2F">
      <w:pPr>
        <w:rPr>
          <w:sz w:val="20"/>
        </w:rPr>
      </w:pPr>
    </w:p>
    <w:p w:rsidR="00980694" w:rsidRPr="00673963" w:rsidRDefault="00980694">
      <w:pPr>
        <w:rPr>
          <w:sz w:val="20"/>
        </w:rPr>
        <w:sectPr w:rsidR="00980694" w:rsidRPr="00673963" w:rsidSect="0065658A">
          <w:headerReference w:type="default" r:id="rId51"/>
          <w:footerReference w:type="default" r:id="rId52"/>
          <w:pgSz w:w="12240" w:h="15840" w:code="1"/>
          <w:pgMar w:top="1440" w:right="1080" w:bottom="1440" w:left="1080" w:header="720" w:footer="576" w:gutter="0"/>
          <w:paperSrc w:first="264" w:other="264"/>
          <w:pgNumType w:start="1"/>
          <w:cols w:space="720"/>
          <w:docGrid w:linePitch="299"/>
        </w:sectPr>
      </w:pPr>
    </w:p>
    <w:p w:rsidR="00750F0D" w:rsidRPr="00750F0D" w:rsidRDefault="00750F0D" w:rsidP="00750F0D">
      <w:pPr>
        <w:tabs>
          <w:tab w:val="left" w:pos="360"/>
          <w:tab w:val="left" w:pos="720"/>
          <w:tab w:val="left" w:pos="1080"/>
          <w:tab w:val="left" w:pos="1440"/>
        </w:tabs>
        <w:spacing w:after="120"/>
        <w:rPr>
          <w:sz w:val="20"/>
        </w:rPr>
      </w:pPr>
      <w:bookmarkStart w:id="100" w:name="TR"/>
      <w:r w:rsidRPr="00750F0D">
        <w:rPr>
          <w:sz w:val="20"/>
        </w:rPr>
        <w:lastRenderedPageBreak/>
        <w:t>Unless</w:t>
      </w:r>
      <w:bookmarkEnd w:id="100"/>
      <w:r w:rsidRPr="00750F0D">
        <w:rPr>
          <w:sz w:val="20"/>
        </w:rPr>
        <w:t xml:space="preserve"> otherwise specified in a specific rule, this permit, or other order, the following testing requirements apply to each emissions unit for which testing is required.  An emissions test is an emissions rate test, a concentration test, or an opacity test.  </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TR1.</w:t>
      </w:r>
      <w:r w:rsidRPr="00750F0D">
        <w:rPr>
          <w:sz w:val="20"/>
        </w:rPr>
        <w:tab/>
      </w:r>
      <w:r w:rsidRPr="00750F0D">
        <w:rPr>
          <w:sz w:val="20"/>
          <w:u w:val="single"/>
        </w:rPr>
        <w:t>Required Number of Test Runs</w:t>
      </w:r>
      <w:r w:rsidRPr="00750F0D">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w:t>
      </w:r>
      <w:proofErr w:type="gramStart"/>
      <w:r w:rsidRPr="00750F0D">
        <w:rPr>
          <w:sz w:val="20"/>
        </w:rPr>
        <w:t>three distinct</w:t>
      </w:r>
      <w:proofErr w:type="gramEnd"/>
      <w:r w:rsidRPr="00750F0D">
        <w:rPr>
          <w:sz w:val="20"/>
        </w:rPr>
        <w:t xml:space="preserve">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750F0D">
        <w:rPr>
          <w:b/>
          <w:sz w:val="20"/>
        </w:rPr>
        <w:t>TR5.</w:t>
      </w:r>
      <w:r w:rsidRPr="00750F0D">
        <w:rPr>
          <w:sz w:val="20"/>
        </w:rPr>
        <w:t xml:space="preserve"> [</w:t>
      </w:r>
      <w:r>
        <w:rPr>
          <w:sz w:val="20"/>
        </w:rPr>
        <w:t>S</w:t>
      </w:r>
      <w:r w:rsidRPr="00750F0D">
        <w:rPr>
          <w:sz w:val="20"/>
        </w:rPr>
        <w:t xml:space="preserve">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w:t>
      </w:r>
      <w:proofErr w:type="gramStart"/>
      <w:r w:rsidRPr="00750F0D">
        <w:rPr>
          <w:sz w:val="20"/>
        </w:rPr>
        <w:t>five day</w:t>
      </w:r>
      <w:proofErr w:type="gramEnd"/>
      <w:r w:rsidRPr="00750F0D">
        <w:rPr>
          <w:sz w:val="20"/>
        </w:rPr>
        <w:t xml:space="preserve"> period allowed for the test, results of the two valid runs shall be accepted, provided that the arithmetic mean of the results of the two valid runs is at least 20% below the allowable emission limiting standard.  [Rule 62-297.310(2), F.A.C.]</w:t>
      </w:r>
    </w:p>
    <w:p w:rsidR="00750F0D" w:rsidRPr="00750F0D" w:rsidRDefault="00750F0D" w:rsidP="00750F0D">
      <w:pPr>
        <w:tabs>
          <w:tab w:val="left" w:pos="360"/>
          <w:tab w:val="left" w:pos="720"/>
          <w:tab w:val="left" w:pos="1080"/>
          <w:tab w:val="left" w:pos="1440"/>
        </w:tabs>
        <w:ind w:left="360" w:hanging="360"/>
        <w:rPr>
          <w:sz w:val="20"/>
        </w:rPr>
      </w:pPr>
      <w:r w:rsidRPr="00750F0D">
        <w:rPr>
          <w:b/>
          <w:sz w:val="20"/>
        </w:rPr>
        <w:t>TR2.</w:t>
      </w:r>
      <w:r w:rsidRPr="00750F0D">
        <w:rPr>
          <w:sz w:val="20"/>
        </w:rPr>
        <w:tab/>
      </w:r>
      <w:r w:rsidRPr="00750F0D">
        <w:rPr>
          <w:sz w:val="20"/>
          <w:u w:val="single"/>
        </w:rPr>
        <w:t>Operating Conditions during Emissions Testing</w:t>
      </w:r>
      <w:r w:rsidRPr="00750F0D">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750F0D" w:rsidRPr="00750F0D" w:rsidRDefault="00750F0D" w:rsidP="00750F0D">
      <w:pPr>
        <w:tabs>
          <w:tab w:val="left" w:pos="360"/>
          <w:tab w:val="left" w:pos="720"/>
          <w:tab w:val="left" w:pos="1080"/>
          <w:tab w:val="left" w:pos="1440"/>
        </w:tabs>
        <w:ind w:left="360"/>
        <w:rPr>
          <w:sz w:val="20"/>
        </w:rPr>
      </w:pPr>
      <w:r w:rsidRPr="00750F0D">
        <w:rPr>
          <w:sz w:val="20"/>
        </w:rPr>
        <w:t>a.</w:t>
      </w:r>
      <w:r w:rsidRPr="00750F0D">
        <w:rPr>
          <w:sz w:val="20"/>
        </w:rPr>
        <w:tab/>
        <w:t>Combustion Turbines.  (Reserved)</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All Other Sources.  Testing capacity is defined as at least 90 percent of the maximum operation rate specified by the permit.</w:t>
      </w:r>
    </w:p>
    <w:p w:rsidR="00750F0D" w:rsidRPr="00750F0D" w:rsidRDefault="00750F0D" w:rsidP="00750F0D">
      <w:pPr>
        <w:tabs>
          <w:tab w:val="left" w:pos="360"/>
          <w:tab w:val="left" w:pos="720"/>
          <w:tab w:val="left" w:pos="1080"/>
          <w:tab w:val="left" w:pos="1440"/>
        </w:tabs>
        <w:spacing w:after="120"/>
        <w:ind w:firstLine="360"/>
        <w:rPr>
          <w:sz w:val="20"/>
        </w:rPr>
      </w:pPr>
      <w:r w:rsidRPr="00750F0D">
        <w:rPr>
          <w:sz w:val="20"/>
        </w:rPr>
        <w:t>[Rule 62-297.310(3), F.A.C.]</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TR3.</w:t>
      </w:r>
      <w:r w:rsidRPr="00750F0D">
        <w:rPr>
          <w:sz w:val="20"/>
        </w:rPr>
        <w:tab/>
      </w:r>
      <w:r w:rsidRPr="00750F0D">
        <w:rPr>
          <w:sz w:val="20"/>
          <w:u w:val="single"/>
        </w:rPr>
        <w:t>Calculation of Emission Rate or Concentration</w:t>
      </w:r>
      <w:r w:rsidRPr="00750F0D">
        <w:rPr>
          <w:sz w:val="20"/>
        </w:rPr>
        <w:t xml:space="preserve">.  The emission rate or concentration used for comparison with the relevant standard shall be the arithmetic average of the emission rate or concentration determined by each of the </w:t>
      </w:r>
      <w:proofErr w:type="gramStart"/>
      <w:r w:rsidRPr="00750F0D">
        <w:rPr>
          <w:sz w:val="20"/>
        </w:rPr>
        <w:t>three valid</w:t>
      </w:r>
      <w:proofErr w:type="gramEnd"/>
      <w:r w:rsidRPr="00750F0D">
        <w:rPr>
          <w:sz w:val="20"/>
        </w:rPr>
        <w:t xml:space="preserve"> test runs unless otherwise specified in an applicable rule or test method.  Data collected during periods of soot blowing shall not be excluded from any calculation of emission rate or concentration.  [Rule 62-297.310(4), F.A.C.]</w:t>
      </w:r>
    </w:p>
    <w:p w:rsidR="00750F0D" w:rsidRPr="00750F0D" w:rsidRDefault="00750F0D" w:rsidP="00750F0D">
      <w:pPr>
        <w:tabs>
          <w:tab w:val="left" w:pos="360"/>
          <w:tab w:val="left" w:pos="720"/>
          <w:tab w:val="left" w:pos="1080"/>
          <w:tab w:val="left" w:pos="1440"/>
        </w:tabs>
        <w:ind w:left="360" w:hanging="360"/>
        <w:rPr>
          <w:sz w:val="20"/>
        </w:rPr>
      </w:pPr>
      <w:r w:rsidRPr="00750F0D">
        <w:rPr>
          <w:b/>
          <w:sz w:val="20"/>
        </w:rPr>
        <w:t>TR4.</w:t>
      </w:r>
      <w:r w:rsidRPr="00750F0D">
        <w:rPr>
          <w:sz w:val="20"/>
        </w:rPr>
        <w:tab/>
      </w:r>
      <w:r w:rsidRPr="00750F0D">
        <w:rPr>
          <w:sz w:val="20"/>
          <w:u w:val="single"/>
        </w:rPr>
        <w:t>Required Sampling Times and Observation Periods</w:t>
      </w:r>
      <w:r w:rsidRPr="00750F0D">
        <w:rPr>
          <w:sz w:val="20"/>
        </w:rPr>
        <w:t>.  Unless otherwise specified in an applicable test method, rule, permit, or other order, the owner or operator shall conduct emissions tests in accordance with the following procedures: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Emission Rate or Concentration Tests</w:t>
      </w:r>
      <w:r w:rsidRPr="00750F0D">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Opacity Tests</w:t>
      </w:r>
      <w:r w:rsidRPr="00750F0D">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62-297.310(5), F.A.C.]</w:t>
      </w:r>
    </w:p>
    <w:p w:rsidR="00750F0D" w:rsidRPr="00750F0D" w:rsidRDefault="00750F0D" w:rsidP="00750F0D">
      <w:pPr>
        <w:tabs>
          <w:tab w:val="left" w:pos="360"/>
          <w:tab w:val="left" w:pos="720"/>
          <w:tab w:val="left" w:pos="1080"/>
          <w:tab w:val="left" w:pos="1440"/>
        </w:tabs>
        <w:rPr>
          <w:sz w:val="20"/>
        </w:rPr>
      </w:pPr>
      <w:r w:rsidRPr="00750F0D">
        <w:rPr>
          <w:b/>
          <w:sz w:val="20"/>
        </w:rPr>
        <w:t>TR5.</w:t>
      </w:r>
      <w:r w:rsidRPr="00750F0D">
        <w:rPr>
          <w:b/>
          <w:sz w:val="20"/>
        </w:rPr>
        <w:tab/>
      </w:r>
      <w:r w:rsidRPr="00750F0D">
        <w:rPr>
          <w:sz w:val="20"/>
          <w:u w:val="single"/>
        </w:rPr>
        <w:t>Determination of Process Parameters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Required Process Equipment</w:t>
      </w:r>
      <w:r w:rsidRPr="00750F0D">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Accuracy of Process Measurement Equipment</w:t>
      </w:r>
      <w:r w:rsidRPr="00750F0D">
        <w:rPr>
          <w:sz w:val="20"/>
        </w:rPr>
        <w:t xml:space="preserve">.  Equipment or instruments used to directly or indirectly determine process parameters shall be calibrated and adjusted </w:t>
      </w:r>
      <w:proofErr w:type="gramStart"/>
      <w:r w:rsidRPr="00750F0D">
        <w:rPr>
          <w:sz w:val="20"/>
        </w:rPr>
        <w:t>so as to</w:t>
      </w:r>
      <w:proofErr w:type="gramEnd"/>
      <w:r w:rsidRPr="00750F0D">
        <w:rPr>
          <w:sz w:val="20"/>
        </w:rPr>
        <w:t xml:space="preserve"> determine the value of the process parameter to within 10 percent of its true value.</w:t>
      </w:r>
    </w:p>
    <w:p w:rsidR="00750F0D" w:rsidRPr="00750F0D" w:rsidRDefault="00750F0D" w:rsidP="00750F0D">
      <w:pPr>
        <w:tabs>
          <w:tab w:val="left" w:pos="360"/>
          <w:tab w:val="left" w:pos="720"/>
          <w:tab w:val="left" w:pos="1080"/>
          <w:tab w:val="left" w:pos="1440"/>
        </w:tabs>
        <w:spacing w:after="120"/>
        <w:ind w:left="724" w:hanging="360"/>
        <w:rPr>
          <w:sz w:val="20"/>
        </w:rPr>
      </w:pPr>
      <w:r w:rsidRPr="00750F0D">
        <w:rPr>
          <w:sz w:val="20"/>
        </w:rPr>
        <w:lastRenderedPageBreak/>
        <w:t>[Rule 62-297.310(6), F.A.C.]</w:t>
      </w:r>
    </w:p>
    <w:p w:rsidR="00750F0D" w:rsidRPr="00750F0D" w:rsidRDefault="00750F0D" w:rsidP="00750F0D">
      <w:pPr>
        <w:tabs>
          <w:tab w:val="left" w:pos="360"/>
          <w:tab w:val="left" w:pos="720"/>
          <w:tab w:val="left" w:pos="1080"/>
          <w:tab w:val="left" w:pos="1440"/>
        </w:tabs>
        <w:rPr>
          <w:sz w:val="20"/>
        </w:rPr>
      </w:pPr>
      <w:r w:rsidRPr="00750F0D">
        <w:rPr>
          <w:b/>
          <w:sz w:val="20"/>
        </w:rPr>
        <w:t>TR6</w:t>
      </w:r>
      <w:r w:rsidRPr="00750F0D">
        <w:rPr>
          <w:sz w:val="20"/>
        </w:rPr>
        <w:t>.</w:t>
      </w:r>
      <w:r w:rsidRPr="00750F0D">
        <w:rPr>
          <w:sz w:val="20"/>
        </w:rPr>
        <w:tab/>
      </w:r>
      <w:r w:rsidRPr="00750F0D">
        <w:rPr>
          <w:sz w:val="20"/>
          <w:u w:val="single"/>
        </w:rPr>
        <w:t>Required Emissions Testing Facilities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Permanent Emissions Testing Facilities.</w:t>
      </w:r>
      <w:r w:rsidRPr="00750F0D">
        <w:rPr>
          <w:sz w:val="20"/>
        </w:rPr>
        <w:t xml:space="preserve">  The owner or operator of an emissions unit, for which an emissions test other than a visible emissions test is required on at least an annual basis, shall install and maintain permanent emissions testing facilities.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Temporary Emissions Testing Facilities</w:t>
      </w:r>
      <w:r w:rsidRPr="00750F0D">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750F0D" w:rsidRPr="00750F0D" w:rsidRDefault="00750F0D" w:rsidP="00750F0D">
      <w:pPr>
        <w:tabs>
          <w:tab w:val="left" w:pos="360"/>
          <w:tab w:val="left" w:pos="720"/>
          <w:tab w:val="left" w:pos="1080"/>
          <w:tab w:val="left" w:pos="1440"/>
        </w:tabs>
        <w:spacing w:after="120"/>
        <w:ind w:left="90" w:firstLine="274"/>
        <w:rPr>
          <w:sz w:val="20"/>
        </w:rPr>
      </w:pPr>
      <w:r w:rsidRPr="00750F0D">
        <w:rPr>
          <w:sz w:val="20"/>
        </w:rPr>
        <w:t>[Rule 62-297.310(7), F.A.C.]</w:t>
      </w:r>
    </w:p>
    <w:p w:rsidR="00750F0D" w:rsidRPr="00750F0D" w:rsidRDefault="00750F0D" w:rsidP="00750F0D">
      <w:pPr>
        <w:tabs>
          <w:tab w:val="left" w:pos="360"/>
          <w:tab w:val="left" w:pos="720"/>
          <w:tab w:val="left" w:pos="1080"/>
          <w:tab w:val="left" w:pos="1440"/>
        </w:tabs>
        <w:ind w:left="270" w:hanging="270"/>
        <w:rPr>
          <w:sz w:val="20"/>
        </w:rPr>
      </w:pPr>
      <w:r w:rsidRPr="00750F0D">
        <w:rPr>
          <w:b/>
          <w:sz w:val="20"/>
        </w:rPr>
        <w:t>TR7.</w:t>
      </w:r>
      <w:r w:rsidRPr="00750F0D">
        <w:rPr>
          <w:sz w:val="20"/>
        </w:rPr>
        <w:tab/>
      </w:r>
      <w:r w:rsidRPr="00750F0D">
        <w:rPr>
          <w:sz w:val="20"/>
          <w:u w:val="single"/>
        </w:rPr>
        <w:t>Frequency of Emissions Tests</w:t>
      </w:r>
      <w:r w:rsidRPr="00750F0D">
        <w:rPr>
          <w:sz w:val="20"/>
        </w:rPr>
        <w:t>.  The following provisions apply only to those emissions units that are subject to an emissions-limiting standard for which emissions testing is required.</w:t>
      </w:r>
    </w:p>
    <w:p w:rsidR="00750F0D" w:rsidRPr="00750F0D" w:rsidRDefault="00750F0D" w:rsidP="00750F0D">
      <w:pPr>
        <w:tabs>
          <w:tab w:val="left" w:pos="360"/>
          <w:tab w:val="left" w:pos="630"/>
          <w:tab w:val="left" w:pos="720"/>
          <w:tab w:val="left" w:pos="1080"/>
          <w:tab w:val="left" w:pos="1440"/>
        </w:tabs>
        <w:ind w:firstLine="360"/>
        <w:rPr>
          <w:sz w:val="20"/>
        </w:rPr>
      </w:pPr>
      <w:r w:rsidRPr="00750F0D">
        <w:rPr>
          <w:sz w:val="20"/>
        </w:rPr>
        <w:t>a.</w:t>
      </w:r>
      <w:r w:rsidRPr="00750F0D">
        <w:rPr>
          <w:sz w:val="20"/>
        </w:rPr>
        <w:tab/>
      </w:r>
      <w:r w:rsidRPr="00750F0D">
        <w:rPr>
          <w:i/>
          <w:sz w:val="20"/>
        </w:rPr>
        <w:t>Annual Emissions Tests Required</w:t>
      </w:r>
      <w:r w:rsidRPr="00750F0D">
        <w:rPr>
          <w:sz w:val="20"/>
        </w:rPr>
        <w:t>.</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(1)</w:t>
      </w:r>
      <w:r w:rsidRPr="00750F0D">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(2)</w:t>
      </w:r>
      <w:r w:rsidRPr="00750F0D">
        <w:rPr>
          <w:sz w:val="20"/>
        </w:rPr>
        <w:tab/>
        <w:t xml:space="preserve">Unless exempted by paragraph </w:t>
      </w:r>
      <w:proofErr w:type="gramStart"/>
      <w:r w:rsidRPr="00750F0D">
        <w:rPr>
          <w:sz w:val="20"/>
        </w:rPr>
        <w:t>a.(</w:t>
      </w:r>
      <w:proofErr w:type="gramEnd"/>
      <w:r w:rsidRPr="00750F0D">
        <w:rPr>
          <w:sz w:val="20"/>
        </w:rPr>
        <w:t>5), below [subparagraph 62-297.310(8)(a)5., F.A.C.], the owner or operator shall have an emissions unit tested annually for each of the following pollutants that has an emissions-limiting standard for which emissions testing is required:</w:t>
      </w:r>
    </w:p>
    <w:p w:rsidR="00750F0D" w:rsidRPr="00750F0D" w:rsidRDefault="00750F0D" w:rsidP="00750F0D">
      <w:pPr>
        <w:tabs>
          <w:tab w:val="left" w:pos="360"/>
          <w:tab w:val="left" w:pos="720"/>
          <w:tab w:val="left" w:pos="1080"/>
          <w:tab w:val="left" w:pos="1440"/>
        </w:tabs>
        <w:ind w:left="1440" w:hanging="360"/>
        <w:rPr>
          <w:sz w:val="20"/>
        </w:rPr>
      </w:pPr>
      <w:r w:rsidRPr="00750F0D">
        <w:rPr>
          <w:sz w:val="20"/>
        </w:rPr>
        <w:t>(a)</w:t>
      </w:r>
      <w:r w:rsidRPr="00750F0D">
        <w:rPr>
          <w:sz w:val="20"/>
        </w:rPr>
        <w:tab/>
        <w:t>Each hazardous air pollutant regulated by 40 CFR Part 61, adopted and incorporated by reference at Rule 62-204.800, F.A.C.; and</w:t>
      </w:r>
    </w:p>
    <w:p w:rsidR="00750F0D" w:rsidRPr="00750F0D" w:rsidRDefault="00750F0D" w:rsidP="00750F0D">
      <w:pPr>
        <w:tabs>
          <w:tab w:val="left" w:pos="360"/>
          <w:tab w:val="left" w:pos="720"/>
          <w:tab w:val="left" w:pos="1080"/>
          <w:tab w:val="left" w:pos="1440"/>
        </w:tabs>
        <w:ind w:left="1440" w:hanging="360"/>
        <w:rPr>
          <w:sz w:val="20"/>
        </w:rPr>
      </w:pPr>
      <w:r w:rsidRPr="00750F0D">
        <w:rPr>
          <w:sz w:val="20"/>
        </w:rPr>
        <w:t>(b)</w:t>
      </w:r>
      <w:r w:rsidRPr="00750F0D">
        <w:rPr>
          <w:sz w:val="20"/>
        </w:rPr>
        <w:tab/>
        <w:t>Any other regulated air pollutant, as defined at Rule 62-210.200, F.A.C., or a pollutant designated as a surrogate to a regulated air pollutant by an applicable rule or order, if allowable emissions equal or exceed 100 tons per year.</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(3)</w:t>
      </w:r>
      <w:r w:rsidRPr="00750F0D">
        <w:rPr>
          <w:sz w:val="20"/>
        </w:rPr>
        <w:tab/>
        <w:t xml:space="preserve">Unless exempted by paragraph </w:t>
      </w:r>
      <w:proofErr w:type="gramStart"/>
      <w:r w:rsidRPr="00750F0D">
        <w:rPr>
          <w:sz w:val="20"/>
        </w:rPr>
        <w:t>a.(</w:t>
      </w:r>
      <w:proofErr w:type="gramEnd"/>
      <w:r w:rsidRPr="00750F0D">
        <w:rPr>
          <w:sz w:val="20"/>
        </w:rPr>
        <w:t>5), below [subparagraph 62-297.310(8)(a)5., F.A.C.], the owner or operator shall have an emissions unit tested annually for visible emissions, if there is an applicable standard other than the general opacity standard of subparagraph 62-296.320(4)(b)1., F.A.C.</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(4)</w:t>
      </w:r>
      <w:r w:rsidRPr="00750F0D">
        <w:rPr>
          <w:sz w:val="20"/>
        </w:rPr>
        <w:tab/>
        <w:t xml:space="preserve">Unless exempted by paragraph </w:t>
      </w:r>
      <w:proofErr w:type="gramStart"/>
      <w:r w:rsidRPr="00750F0D">
        <w:rPr>
          <w:sz w:val="20"/>
        </w:rPr>
        <w:t>a.(</w:t>
      </w:r>
      <w:proofErr w:type="gramEnd"/>
      <w:r w:rsidRPr="00750F0D">
        <w:rPr>
          <w:sz w:val="20"/>
        </w:rPr>
        <w:t>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(5)</w:t>
      </w:r>
      <w:r w:rsidRPr="00750F0D">
        <w:rPr>
          <w:sz w:val="20"/>
        </w:rPr>
        <w:tab/>
        <w:t xml:space="preserve">Exemptions from paragraphs </w:t>
      </w:r>
      <w:proofErr w:type="gramStart"/>
      <w:r w:rsidRPr="00750F0D">
        <w:rPr>
          <w:sz w:val="20"/>
        </w:rPr>
        <w:t>a.(</w:t>
      </w:r>
      <w:proofErr w:type="gramEnd"/>
      <w:r w:rsidRPr="00750F0D">
        <w:rPr>
          <w:sz w:val="20"/>
        </w:rPr>
        <w:t>2), (3) and (4), above [subparagraphs 62-297.310(8)(a)2., 3., and 4., F.A.C.].</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annual emissions test shall not be required for any pollutant for which a rule, permit, or other order requires emissions testing at some other specific frequency.  If multiple applicable rules, permits, or other orders, other than paragraphs </w:t>
      </w:r>
      <w:proofErr w:type="gramStart"/>
      <w:r w:rsidRPr="00750F0D">
        <w:rPr>
          <w:sz w:val="20"/>
        </w:rPr>
        <w:t>a.(</w:t>
      </w:r>
      <w:proofErr w:type="gramEnd"/>
      <w:r w:rsidRPr="00750F0D">
        <w:rPr>
          <w:sz w:val="20"/>
        </w:rPr>
        <w:t>2), (3) and (4), above [subparagraphs 62-297.310(8)(a)2., 3., and 4., F.A.C.], require different testing frequencies, testing must comply with the frequency requirements of each such rule, permit, or order.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750F0D">
        <w:rPr>
          <w:sz w:val="20"/>
        </w:rPr>
        <w:lastRenderedPageBreak/>
        <w:t>and incorporated in Rule 62-204.800, F.A.C., and the manufacturer’s recommended quality assurance and quality control measures.</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next starts up.</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an annual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750F0D" w:rsidRPr="00750F0D" w:rsidRDefault="00750F0D" w:rsidP="00750F0D">
      <w:pPr>
        <w:tabs>
          <w:tab w:val="left" w:pos="360"/>
          <w:tab w:val="left" w:pos="720"/>
          <w:tab w:val="left" w:pos="1080"/>
          <w:tab w:val="left" w:pos="1440"/>
        </w:tabs>
        <w:ind w:firstLine="360"/>
        <w:rPr>
          <w:sz w:val="20"/>
        </w:rPr>
      </w:pPr>
      <w:r w:rsidRPr="00750F0D">
        <w:rPr>
          <w:sz w:val="20"/>
        </w:rPr>
        <w:t>b.</w:t>
      </w:r>
      <w:r w:rsidRPr="00750F0D">
        <w:rPr>
          <w:sz w:val="20"/>
        </w:rPr>
        <w:tab/>
      </w:r>
      <w:r w:rsidRPr="00750F0D">
        <w:rPr>
          <w:i/>
          <w:sz w:val="20"/>
        </w:rPr>
        <w:t>Emissions Tests Prior to Obtaining an Air Operation Permit</w:t>
      </w:r>
      <w:r w:rsidRPr="00750F0D">
        <w:rPr>
          <w:sz w:val="20"/>
        </w:rPr>
        <w: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For the purpose of renewal of an air operation permit, the owner or operator may satisfy the requirements of paragraph </w:t>
      </w:r>
      <w:proofErr w:type="gramStart"/>
      <w:r w:rsidRPr="00750F0D">
        <w:rPr>
          <w:sz w:val="20"/>
        </w:rPr>
        <w:t>b.(</w:t>
      </w:r>
      <w:proofErr w:type="gramEnd"/>
      <w:r w:rsidRPr="00750F0D">
        <w:rPr>
          <w:sz w:val="20"/>
        </w:rPr>
        <w:t xml:space="preserve">1), above [subparagraph 62-297.310(8)(b)1., F.A.C.], for any emissions unit by submitting the most recent emissions test, as specified in condition </w:t>
      </w:r>
      <w:r w:rsidRPr="00750F0D">
        <w:rPr>
          <w:b/>
          <w:sz w:val="20"/>
        </w:rPr>
        <w:t>TR9.</w:t>
      </w:r>
      <w:r w:rsidRPr="00750F0D">
        <w:rPr>
          <w:sz w:val="20"/>
        </w:rPr>
        <w:t xml:space="preserve"> [Subsection 62-297.310(10), F.A.C.], provided such test occurred within the term of the current operation permit.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Exemptions from paragraph </w:t>
      </w:r>
      <w:proofErr w:type="gramStart"/>
      <w:r w:rsidRPr="00750F0D">
        <w:rPr>
          <w:sz w:val="20"/>
        </w:rPr>
        <w:t>b.(</w:t>
      </w:r>
      <w:proofErr w:type="gramEnd"/>
      <w:r w:rsidRPr="00750F0D">
        <w:rPr>
          <w:sz w:val="20"/>
        </w:rPr>
        <w:t>1), above [subparagraph 62-297.310(8)(b)1., F.A.C.].</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750F0D">
        <w:rPr>
          <w:sz w:val="20"/>
        </w:rPr>
        <w:lastRenderedPageBreak/>
        <w:t>and incorporated in Rule 62-204.800, F.A.C., and the manufacturer’s recommended quality assurance and quality control measures.</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proofErr w:type="gramStart"/>
      <w:r w:rsidRPr="00750F0D">
        <w:rPr>
          <w:sz w:val="20"/>
        </w:rPr>
        <w:t>For the purpose of</w:t>
      </w:r>
      <w:proofErr w:type="gramEnd"/>
      <w:r w:rsidRPr="00750F0D">
        <w:rPr>
          <w:sz w:val="20"/>
        </w:rPr>
        <w:t xml:space="preserve">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proofErr w:type="gramStart"/>
      <w:r w:rsidRPr="00750F0D">
        <w:rPr>
          <w:sz w:val="20"/>
        </w:rPr>
        <w:t>For the purpose of</w:t>
      </w:r>
      <w:proofErr w:type="gramEnd"/>
      <w:r w:rsidRPr="00750F0D">
        <w:rPr>
          <w:sz w:val="20"/>
        </w:rPr>
        <w:t xml:space="preserve">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starts up.</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the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Special Compliance Tests</w:t>
      </w:r>
      <w:r w:rsidRPr="00750F0D">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750F0D">
        <w:rPr>
          <w:b/>
          <w:sz w:val="20"/>
        </w:rPr>
        <w:t>TR9.</w:t>
      </w:r>
      <w:r w:rsidRPr="00750F0D">
        <w:rPr>
          <w:sz w:val="20"/>
        </w:rPr>
        <w:t xml:space="preserve"> [Subsection 62-297.310(10), F.A.C.].</w:t>
      </w:r>
    </w:p>
    <w:p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62-297.310(8), F.A.C.]</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TR8.</w:t>
      </w:r>
      <w:r w:rsidRPr="00750F0D">
        <w:rPr>
          <w:sz w:val="20"/>
        </w:rPr>
        <w:tab/>
      </w:r>
      <w:r w:rsidRPr="00750F0D">
        <w:rPr>
          <w:sz w:val="20"/>
          <w:u w:val="single"/>
        </w:rPr>
        <w:t>Scheduling and Notification</w:t>
      </w:r>
      <w:r w:rsidRPr="00750F0D">
        <w:rPr>
          <w:sz w:val="20"/>
        </w:rPr>
        <w:t xml:space="preserve">.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w:t>
      </w:r>
      <w:proofErr w:type="gramStart"/>
      <w:r w:rsidRPr="00750F0D">
        <w:rPr>
          <w:sz w:val="20"/>
        </w:rPr>
        <w:t>mutual agreement</w:t>
      </w:r>
      <w:proofErr w:type="gramEnd"/>
      <w:r w:rsidRPr="00750F0D">
        <w:rPr>
          <w:sz w:val="20"/>
        </w:rPr>
        <w:t>.  [Rule 62-297.310(9), F.A.C.]</w:t>
      </w:r>
    </w:p>
    <w:p w:rsidR="00750F0D" w:rsidRPr="00750F0D" w:rsidRDefault="00750F0D" w:rsidP="00750F0D">
      <w:pPr>
        <w:tabs>
          <w:tab w:val="left" w:pos="360"/>
          <w:tab w:val="left" w:pos="720"/>
          <w:tab w:val="left" w:pos="1080"/>
          <w:tab w:val="left" w:pos="1440"/>
        </w:tabs>
        <w:rPr>
          <w:sz w:val="20"/>
        </w:rPr>
      </w:pPr>
      <w:r w:rsidRPr="00750F0D">
        <w:rPr>
          <w:b/>
          <w:sz w:val="20"/>
        </w:rPr>
        <w:lastRenderedPageBreak/>
        <w:t>TR9.</w:t>
      </w:r>
      <w:r w:rsidRPr="00750F0D">
        <w:rPr>
          <w:sz w:val="20"/>
        </w:rPr>
        <w:tab/>
      </w:r>
      <w:r w:rsidRPr="00750F0D">
        <w:rPr>
          <w:sz w:val="20"/>
          <w:u w:val="single"/>
        </w:rPr>
        <w:t>Test Reports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If the owner or owner’s authorized agent of an emissions unit for which an emissions test is required submits the results of each such test electronically using the EPA Electronic Reporting Tool (ERT) (</w:t>
      </w:r>
      <w:hyperlink r:id="rId53" w:history="1">
        <w:r w:rsidRPr="00750F0D">
          <w:rPr>
            <w:rStyle w:val="Hyperlink"/>
            <w:sz w:val="20"/>
          </w:rPr>
          <w:t>http://www.epa.gov/ttnchie1/ert/</w:t>
        </w:r>
      </w:hyperlink>
      <w:r w:rsidRPr="00750F0D">
        <w:rPr>
          <w:sz w:val="20"/>
        </w:rPr>
        <w:t>), the written report specified in paragraph a., above [paragraph 62-297.310(10)(a), F.A.C.], need not be submitted, provided the conditions of paragraphs (1) – (3), below [subparagraphs 62-297.310(10)(b)1. through 3., F.A.C.], are met:</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owner or owner’s authorized agent shall submit the test information using the ERT as soon as practicable but no later than 45 days after the last run of each test is completed;</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 xml:space="preserve">The test information shall provide, as a minimum, the information specified in paragraphs </w:t>
      </w:r>
      <w:proofErr w:type="gramStart"/>
      <w:r w:rsidRPr="00750F0D">
        <w:rPr>
          <w:sz w:val="20"/>
        </w:rPr>
        <w:t>c.(</w:t>
      </w:r>
      <w:proofErr w:type="gramEnd"/>
      <w:r w:rsidRPr="00750F0D">
        <w:rPr>
          <w:sz w:val="20"/>
        </w:rPr>
        <w:t>1) – (24), below [subparagraphs 62-297.310(10)(c)1. through 24., F.A.C.]; and</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compliance authority specified by permit must receive written notification, no later than 45 days after the last run of each test is completed, of the date that the test data was submitted using the ERT.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location, and identification number of the emissions unit tested.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facility at which the emissions unit is located.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owner and, if other than the owner, operator of the emissions unit.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and amount of fuels and materials typically used and processed, and the actual types and amounts of fuels used and material processed during each test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 xml:space="preserve">If necessary </w:t>
      </w:r>
      <w:proofErr w:type="gramStart"/>
      <w:r w:rsidRPr="00750F0D">
        <w:rPr>
          <w:sz w:val="20"/>
        </w:rPr>
        <w:t>in order to</w:t>
      </w:r>
      <w:proofErr w:type="gramEnd"/>
      <w:r w:rsidRPr="00750F0D">
        <w:rPr>
          <w:sz w:val="20"/>
        </w:rPr>
        <w:t xml:space="preserve"> compare the emissions test results with an applicable emission limiting standard, the means, raw data, and computations used to determine the amount of fuels used and materials processed.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of air pollution control devices installed on the emissions unit, their general condition, their typical operating parameters, and their actual operating parameters during each test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A diagram of the sampling location, including the distance to any upstream and downstream bends or other flow disturbances.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date, starting time, and duration of each sampling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test procedures, including any authorized alternative procedures,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number of points sampled, and the configuration and location of the sampling plane.</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point for each run, the dry gas meter reading, velocity head, pressure drop across the stack or duct, temperatures, average meter temperatures, and sample time per point.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manufacturer, and configuration of the sampling equipment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related to the required calibration of the test equipment.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identification, processing, and weights of all filters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types and amounts of any chemical solutions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each sampling probe.</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filters.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impingers.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names of individuals who furnished the process variable data, conducted the test, analyzed the samples and prepared the report.</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All measured and calculated data required to be determined by each applicable test procedure for each run.</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The detailed calculations for one run that relate the collected data to the calculated emission rate or concentration, as applicable.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The applicable emission standard, and the resulting maximum allowable emission rate or concentration for the emissions unit, as applicable, plus the test result in the same form and unit of measure.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lastRenderedPageBreak/>
        <w:t>For non-Title V sources, a certification by the owner or owner’s authorized agent that, to his or her knowledge, all data submitted are true and correct.</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750F0D" w:rsidRPr="00750F0D" w:rsidRDefault="00750F0D" w:rsidP="00750F0D">
      <w:pPr>
        <w:tabs>
          <w:tab w:val="left" w:pos="360"/>
          <w:tab w:val="left" w:pos="720"/>
          <w:tab w:val="left" w:pos="1080"/>
          <w:tab w:val="left" w:pos="1440"/>
        </w:tabs>
        <w:ind w:left="360"/>
        <w:rPr>
          <w:sz w:val="20"/>
        </w:rPr>
      </w:pPr>
      <w:r w:rsidRPr="00750F0D">
        <w:rPr>
          <w:sz w:val="20"/>
        </w:rPr>
        <w:t>[Rule 62-297.310(10), F.A.C.]</w:t>
      </w:r>
    </w:p>
    <w:p w:rsidR="00B52591" w:rsidRDefault="00B52591" w:rsidP="00B976CA">
      <w:pPr>
        <w:pStyle w:val="BodyTextIndent"/>
        <w:widowControl w:val="0"/>
        <w:tabs>
          <w:tab w:val="left" w:pos="360"/>
          <w:tab w:val="left" w:pos="540"/>
          <w:tab w:val="left" w:pos="720"/>
          <w:tab w:val="left" w:pos="1080"/>
          <w:tab w:val="left" w:pos="1440"/>
        </w:tabs>
      </w:pPr>
    </w:p>
    <w:p w:rsidR="00BD6F2F" w:rsidRDefault="007841E9" w:rsidP="00BD6F2F">
      <w:hyperlink w:anchor="TOC" w:history="1">
        <w:r w:rsidR="00BD6F2F" w:rsidRPr="00BD6F2F">
          <w:rPr>
            <w:rStyle w:val="Hyperlink"/>
          </w:rPr>
          <w:t>TABLE OF CONTENTS</w:t>
        </w:r>
      </w:hyperlink>
    </w:p>
    <w:p w:rsidR="00BD6F2F" w:rsidRDefault="00BD6F2F" w:rsidP="00B976CA">
      <w:pPr>
        <w:pStyle w:val="BodyTextIndent"/>
        <w:widowControl w:val="0"/>
        <w:tabs>
          <w:tab w:val="left" w:pos="360"/>
          <w:tab w:val="left" w:pos="540"/>
          <w:tab w:val="left" w:pos="720"/>
          <w:tab w:val="left" w:pos="1080"/>
          <w:tab w:val="left" w:pos="1440"/>
        </w:tabs>
      </w:pPr>
    </w:p>
    <w:p w:rsidR="00BD6F2F" w:rsidRDefault="00BD6F2F" w:rsidP="00B976CA">
      <w:pPr>
        <w:pStyle w:val="BodyTextIndent"/>
        <w:widowControl w:val="0"/>
        <w:tabs>
          <w:tab w:val="left" w:pos="360"/>
          <w:tab w:val="left" w:pos="540"/>
          <w:tab w:val="left" w:pos="720"/>
          <w:tab w:val="left" w:pos="1080"/>
          <w:tab w:val="left" w:pos="1440"/>
        </w:tabs>
      </w:pPr>
    </w:p>
    <w:p w:rsidR="00B52591" w:rsidRDefault="00B52591">
      <w:pPr>
        <w:sectPr w:rsidR="00B52591" w:rsidSect="0065658A">
          <w:headerReference w:type="default" r:id="rId54"/>
          <w:footerReference w:type="default" r:id="rId55"/>
          <w:pgSz w:w="12240" w:h="15840" w:code="1"/>
          <w:pgMar w:top="1440" w:right="1080" w:bottom="1440" w:left="1080" w:header="720" w:footer="576" w:gutter="0"/>
          <w:paperSrc w:first="264" w:other="264"/>
          <w:pgNumType w:start="1"/>
          <w:cols w:space="720"/>
          <w:docGrid w:linePitch="299"/>
        </w:sectPr>
      </w:pPr>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bookmarkStart w:id="101" w:name="TV"/>
      <w:r w:rsidRPr="00750F0D">
        <w:rPr>
          <w:b/>
          <w:sz w:val="20"/>
          <w:u w:val="single"/>
        </w:rPr>
        <w:lastRenderedPageBreak/>
        <w:t>Operation</w:t>
      </w:r>
    </w:p>
    <w:bookmarkEnd w:id="101"/>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r w:rsidRPr="00750F0D">
        <w:rPr>
          <w:sz w:val="20"/>
          <w:u w:val="single"/>
        </w:rPr>
        <w:t>General Prohibition</w:t>
      </w:r>
      <w:r w:rsidRPr="00750F0D">
        <w:rPr>
          <w:sz w:val="20"/>
        </w:rPr>
        <w:t>.  A permitted installation may only be operated, maintained, constructed, expanded or modified in a manner that is consistent with the terms of the permit.  [Rule 62-4.030, Florida Administrative Code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r w:rsidRPr="00750F0D">
        <w:rPr>
          <w:sz w:val="20"/>
          <w:u w:val="single"/>
        </w:rPr>
        <w:t>Validity</w:t>
      </w:r>
      <w:r w:rsidRPr="00750F0D">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r w:rsidRPr="00750F0D">
        <w:rPr>
          <w:sz w:val="20"/>
          <w:u w:val="single"/>
        </w:rPr>
        <w:t>Proper Operation and Maintenance</w:t>
      </w:r>
      <w:r w:rsidRPr="00750F0D">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r w:rsidRPr="00750F0D">
        <w:rPr>
          <w:sz w:val="20"/>
          <w:u w:val="single"/>
        </w:rPr>
        <w:t>Health, Safety and Welfare</w:t>
      </w:r>
      <w:r w:rsidRPr="00750F0D">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r w:rsidRPr="00750F0D">
        <w:rPr>
          <w:sz w:val="20"/>
          <w:u w:val="single"/>
        </w:rPr>
        <w:t>Continued Operation</w:t>
      </w:r>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Changes Without Permit Revision</w:t>
      </w:r>
      <w:r w:rsidRPr="00750F0D">
        <w:rPr>
          <w:sz w:val="20"/>
        </w:rPr>
        <w:t xml:space="preserve">.  Title V sources having a valid permit issued pursuant to Chapter 62-213, F.A.C., may make the following changes without permit revision, </w:t>
      </w:r>
      <w:proofErr w:type="gramStart"/>
      <w:r w:rsidRPr="00750F0D">
        <w:rPr>
          <w:sz w:val="20"/>
        </w:rPr>
        <w:t>provided that</w:t>
      </w:r>
      <w:proofErr w:type="gramEnd"/>
      <w:r w:rsidRPr="00750F0D">
        <w:rPr>
          <w:sz w:val="20"/>
        </w:rPr>
        <w:t xml:space="preserve"> sources shall maintain source logs or records to verify periods of operation:</w:t>
      </w:r>
    </w:p>
    <w:p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 xml:space="preserve">The written notice shall include the date on which the change will occur, and a description of the change within the permitted source, the pollutants emitted and any change in emissions, and any term or condition becoming applicable or no longer applicable </w:t>
      </w:r>
      <w:proofErr w:type="gramStart"/>
      <w:r w:rsidRPr="00750F0D">
        <w:rPr>
          <w:sz w:val="20"/>
        </w:rPr>
        <w:t>as a result of</w:t>
      </w:r>
      <w:proofErr w:type="gramEnd"/>
      <w:r w:rsidRPr="00750F0D">
        <w:rPr>
          <w:sz w:val="20"/>
        </w:rPr>
        <w:t xml:space="preserve"> the change;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62-213.410, F.A.C.]</w:t>
      </w:r>
    </w:p>
    <w:p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r w:rsidRPr="00750F0D">
        <w:rPr>
          <w:sz w:val="20"/>
          <w:u w:val="single"/>
        </w:rPr>
        <w:t>Circumvention</w:t>
      </w:r>
      <w:r w:rsidRPr="00750F0D">
        <w:rPr>
          <w:sz w:val="20"/>
        </w:rPr>
        <w:t>.  No person shall circumvent any air pollution control device, or allow the emission of air pollutants without the applicable air pollution control device operating properly.  [Rule 62-210.650,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r w:rsidRPr="00750F0D">
        <w:rPr>
          <w:sz w:val="20"/>
          <w:u w:val="single"/>
        </w:rPr>
        <w:t>Compliance with Chapter 403, F.S., and Department Rules</w:t>
      </w:r>
      <w:r w:rsidRPr="00750F0D">
        <w:rPr>
          <w:sz w:val="20"/>
        </w:rPr>
        <w:t>.  Except as provided at Rule 62-213.460, Permit Shield, F.A.C., the issuance of a permit does not relieve any person from complying with the requirements of Chapter 403, F.S., or Department rules.  [Rule 62-4.070(7), F.A.C.]</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r>
      <w:r w:rsidRPr="00750F0D">
        <w:rPr>
          <w:b/>
          <w:sz w:val="20"/>
        </w:rPr>
        <w:lastRenderedPageBreak/>
        <w:t>TV9</w:t>
      </w:r>
      <w:r w:rsidRPr="00750F0D">
        <w:rPr>
          <w:sz w:val="20"/>
        </w:rPr>
        <w:t>.</w:t>
      </w:r>
      <w:r w:rsidRPr="00750F0D">
        <w:rPr>
          <w:sz w:val="20"/>
        </w:rPr>
        <w:tab/>
      </w:r>
      <w:r w:rsidRPr="00750F0D">
        <w:rPr>
          <w:sz w:val="20"/>
          <w:u w:val="single"/>
        </w:rPr>
        <w:t>Compliance with Federal, State and Local Rules</w:t>
      </w:r>
      <w:r w:rsidRPr="00750F0D">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r w:rsidRPr="00750F0D">
        <w:rPr>
          <w:sz w:val="20"/>
          <w:u w:val="single"/>
        </w:rPr>
        <w:t>Binding and enforceable</w:t>
      </w:r>
      <w:r w:rsidRPr="00750F0D">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r w:rsidRPr="00750F0D">
        <w:rPr>
          <w:sz w:val="20"/>
          <w:u w:val="single"/>
        </w:rPr>
        <w:t>Timely information</w:t>
      </w:r>
      <w:r w:rsidRPr="00750F0D">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r w:rsidRPr="00750F0D">
        <w:rPr>
          <w:sz w:val="20"/>
          <w:u w:val="single"/>
        </w:rPr>
        <w:t>Halting or reduction of source activity</w:t>
      </w:r>
      <w:r w:rsidRPr="00750F0D">
        <w:rPr>
          <w:sz w:val="20"/>
        </w:rPr>
        <w:t>.  It shall not be a defense for a permittee in an enforcement action that maintaining compliance with any permit condition would necessitate halting of or reduction of the source activity.  [Rule 62-213.440(1)(d)3.,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r w:rsidRPr="00750F0D">
        <w:rPr>
          <w:sz w:val="20"/>
          <w:u w:val="single"/>
        </w:rPr>
        <w:t>Final permit action</w:t>
      </w:r>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r w:rsidRPr="00750F0D">
        <w:rPr>
          <w:sz w:val="20"/>
          <w:u w:val="single"/>
        </w:rPr>
        <w:t>Sudden and unforeseeable events beyond the control of the source</w:t>
      </w:r>
      <w:r w:rsidRPr="00750F0D">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 xml:space="preserve">Compliance </w:t>
      </w:r>
      <w:proofErr w:type="gramStart"/>
      <w:r w:rsidRPr="00750F0D">
        <w:rPr>
          <w:color w:val="auto"/>
          <w:sz w:val="20"/>
          <w:szCs w:val="20"/>
          <w:u w:val="single"/>
        </w:rPr>
        <w:t>With</w:t>
      </w:r>
      <w:proofErr w:type="gramEnd"/>
      <w:r w:rsidRPr="00750F0D">
        <w:rPr>
          <w:color w:val="auto"/>
          <w:sz w:val="20"/>
          <w:szCs w:val="20"/>
          <w:u w:val="single"/>
        </w:rPr>
        <w:t xml:space="preserve">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w:t>
      </w:r>
      <w:proofErr w:type="gramStart"/>
      <w:r w:rsidRPr="00750F0D">
        <w:rPr>
          <w:sz w:val="20"/>
        </w:rPr>
        <w:t>Long  Form</w:t>
      </w:r>
      <w:proofErr w:type="gramEnd"/>
      <w:r w:rsidRPr="00750F0D">
        <w:rPr>
          <w:sz w:val="20"/>
        </w:rPr>
        <w:t xml:space="preserve">],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w:t>
      </w:r>
      <w:r w:rsidRPr="00750F0D">
        <w:rPr>
          <w:sz w:val="20"/>
        </w:rPr>
        <w:lastRenderedPageBreak/>
        <w:t>after June 1, 2009.  No Title V permit will be issued for a new term except through the renewal process.  [Rules 62-213.420 &amp; 62-213.430,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TV19.</w:t>
      </w:r>
      <w:r w:rsidRPr="00750F0D">
        <w:rPr>
          <w:sz w:val="20"/>
        </w:rPr>
        <w:tab/>
      </w:r>
      <w:r w:rsidRPr="00750F0D">
        <w:rPr>
          <w:sz w:val="20"/>
          <w:u w:val="single"/>
        </w:rPr>
        <w:t>Insignificant Emissions Units or Pollutant-Emitting Activities</w:t>
      </w:r>
      <w:r w:rsidRPr="00750F0D">
        <w:rPr>
          <w:sz w:val="20"/>
        </w:rPr>
        <w:t>.  The permittee shall identify and evaluate insignificant emissions units and activities as set forth in Rule 62-213.430(6),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r w:rsidRPr="00750F0D">
        <w:rPr>
          <w:sz w:val="20"/>
          <w:u w:val="single"/>
        </w:rPr>
        <w:t>Savings Clause</w:t>
      </w:r>
      <w:r w:rsidRPr="00750F0D">
        <w:rPr>
          <w:sz w:val="20"/>
        </w:rPr>
        <w:t>.  If any portion of the final permit is invalidated, the remainder of the permit shall remain in effect.  [Rule 62-213.440(1)(d)1.,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r w:rsidRPr="00750F0D">
        <w:rPr>
          <w:sz w:val="20"/>
          <w:u w:val="single"/>
        </w:rPr>
        <w:t>Suspension and Revocation</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Permits shall be effective until suspended, revoked, surrendered, or expired and shall be subject to the provisions of Chapter 403, F.S., and rules of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62-4.100, F.A.C.]</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r w:rsidRPr="00750F0D">
        <w:rPr>
          <w:sz w:val="20"/>
          <w:u w:val="single"/>
        </w:rPr>
        <w:t>Financial Responsibility</w:t>
      </w:r>
      <w:r w:rsidRPr="00750F0D">
        <w:rPr>
          <w:sz w:val="20"/>
        </w:rPr>
        <w:t>.  The Department may require an applicant to submit proof of financial responsibility and may require the applicant to post an appropriate bond to guarantee compliance with the law and Department rules.  [Rule 62-4.110, F.A.C.]</w:t>
      </w:r>
    </w:p>
    <w:p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r w:rsidRPr="00750F0D">
        <w:rPr>
          <w:sz w:val="20"/>
          <w:u w:val="single"/>
        </w:rPr>
        <w:t>Emissions Unit Reclassification</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62-210.300(6),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r w:rsidRPr="00750F0D">
        <w:rPr>
          <w:sz w:val="20"/>
          <w:u w:val="single"/>
        </w:rPr>
        <w:t>Transfer of Permits</w:t>
      </w:r>
      <w:r w:rsidRPr="00750F0D">
        <w:rPr>
          <w:sz w:val="20"/>
        </w:rPr>
        <w:t xml:space="preserve">.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w:t>
      </w:r>
      <w:proofErr w:type="gramStart"/>
      <w:r w:rsidRPr="00750F0D">
        <w:rPr>
          <w:sz w:val="20"/>
        </w:rPr>
        <w:t>as a result of</w:t>
      </w:r>
      <w:proofErr w:type="gramEnd"/>
      <w:r w:rsidRPr="00750F0D">
        <w:rPr>
          <w:sz w:val="20"/>
        </w:rPr>
        <w:t xml:space="preserve"> any violations occurring prior to the sale or legal transfer of the facility.  The permittee shall also comply with the requirements of Rule 62-210.300(7), F.A.C., and use DEP Form No. 62-210.900(7).  [Rules 62-4.160(11), 62-4.120, and 62-210.300(7),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r w:rsidRPr="00750F0D">
        <w:rPr>
          <w:sz w:val="20"/>
          <w:u w:val="single"/>
        </w:rPr>
        <w:t>Rights</w:t>
      </w:r>
      <w:r w:rsidRPr="00750F0D">
        <w:rPr>
          <w:sz w:val="20"/>
        </w:rPr>
        <w:t xml:space="preserve">.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t>
      </w:r>
      <w:r w:rsidRPr="00750F0D">
        <w:rPr>
          <w:sz w:val="20"/>
        </w:rPr>
        <w:lastRenderedPageBreak/>
        <w:t>waiver of or approval of any other Department permit that may be required for other aspects of the total project which are not addressed in this permit.  [Rule 62-4.160(3</w:t>
      </w:r>
      <w:proofErr w:type="gramStart"/>
      <w:r w:rsidRPr="00750F0D">
        <w:rPr>
          <w:sz w:val="20"/>
        </w:rPr>
        <w:t>),  F.A.C.</w:t>
      </w:r>
      <w:proofErr w:type="gram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TV26</w:t>
      </w:r>
      <w:r w:rsidRPr="00750F0D">
        <w:rPr>
          <w:sz w:val="20"/>
        </w:rPr>
        <w:t>.</w:t>
      </w:r>
      <w:r w:rsidRPr="00750F0D">
        <w:rPr>
          <w:sz w:val="20"/>
        </w:rPr>
        <w:tab/>
      </w:r>
      <w:r w:rsidRPr="00750F0D">
        <w:rPr>
          <w:sz w:val="20"/>
          <w:u w:val="single"/>
        </w:rPr>
        <w:t>Title</w:t>
      </w:r>
      <w:r w:rsidRPr="00750F0D">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w:t>
      </w:r>
      <w:proofErr w:type="gramStart"/>
      <w:r w:rsidRPr="00750F0D">
        <w:rPr>
          <w:sz w:val="20"/>
        </w:rPr>
        <w:t>),  (</w:t>
      </w:r>
      <w:proofErr w:type="gramEnd"/>
      <w:r w:rsidRPr="00750F0D">
        <w:rPr>
          <w:sz w:val="20"/>
        </w:rPr>
        <w:t>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r w:rsidRPr="00750F0D">
        <w:rPr>
          <w:sz w:val="20"/>
          <w:u w:val="single"/>
        </w:rPr>
        <w:t>Liability</w:t>
      </w:r>
      <w:r w:rsidRPr="00750F0D">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r w:rsidRPr="00750F0D">
        <w:rPr>
          <w:sz w:val="20"/>
          <w:u w:val="single"/>
        </w:rPr>
        <w:t>Agreements</w:t>
      </w:r>
      <w:r w:rsidRPr="00750F0D">
        <w:rPr>
          <w:sz w:val="20"/>
        </w:rPr>
        <w:t xml:space="preserve">.  </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62-4.160(7), (9), and (10),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The permittee shall keep this permit or a copy thereof at the work site of the permitted activity.  [Rule 62-4.160(12),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r w:rsidRPr="00750F0D">
        <w:rPr>
          <w:sz w:val="20"/>
          <w:u w:val="single"/>
        </w:rPr>
        <w:t>Recordkeeping</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The dates analyses were performed;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62-213.440(1)(b)2., F.A.C.]</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lastRenderedPageBreak/>
        <w:t>TV31.</w:t>
      </w:r>
      <w:r w:rsidRPr="00750F0D">
        <w:rPr>
          <w:sz w:val="20"/>
        </w:rPr>
        <w:tab/>
      </w:r>
      <w:r w:rsidRPr="00750F0D">
        <w:rPr>
          <w:sz w:val="20"/>
          <w:u w:val="single"/>
        </w:rPr>
        <w:t>Emissions Computation</w:t>
      </w:r>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An owner or operator may use a CEMS to compute emissions of a pollutant for purposes of this rule provided: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Demonstrates a means of validating the content of the pollutant that is contained in or created by all materials or fuels used in or at the emissions unit; and,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w:t>
      </w:r>
      <w:proofErr w:type="gramStart"/>
      <w:r w:rsidRPr="00750F0D">
        <w:rPr>
          <w:sz w:val="20"/>
        </w:rPr>
        <w:t>all of</w:t>
      </w:r>
      <w:proofErr w:type="gramEnd"/>
      <w:r w:rsidRPr="00750F0D">
        <w:rPr>
          <w:sz w:val="20"/>
        </w:rPr>
        <w:t xml:space="preserve">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 xml:space="preserve">Where the vendor of a raw material or fuel which is used in or at the emissions unit publishes a range of pollutant content from such material or fuel, the owner or operator shall use the highest value of the range to </w:t>
      </w:r>
      <w:r w:rsidRPr="00750F0D">
        <w:rPr>
          <w:sz w:val="20"/>
        </w:rPr>
        <w:lastRenderedPageBreak/>
        <w:t>compute the emissions, unless the owner or operator demonstrates using site-specific data that another content within the range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Accounting for Emissions During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Accounting for Emissions During Periods of Startup and Shutdown.</w:t>
      </w:r>
      <w:r w:rsidRPr="00750F0D">
        <w:rPr>
          <w:sz w:val="20"/>
        </w:rPr>
        <w:t xml:space="preserve">  In computing the emissions of a pollutant, the owner or operator shall account for the emissions during periods of startup and shutdown of the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r w:rsidRPr="00750F0D">
        <w:rPr>
          <w:sz w:val="20"/>
          <w:u w:val="single"/>
        </w:rPr>
        <w:t>Designation and Update</w:t>
      </w:r>
      <w:r w:rsidRPr="00750F0D">
        <w:rPr>
          <w:sz w:val="20"/>
        </w:rPr>
        <w:t>.  The permittee shall designate and update a responsible official as required by Rule 62-213.202,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r w:rsidRPr="00750F0D">
        <w:rPr>
          <w:sz w:val="20"/>
          <w:u w:val="single"/>
        </w:rPr>
        <w:t>Asbestos</w:t>
      </w:r>
      <w:r w:rsidRPr="00750F0D">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r w:rsidRPr="00750F0D">
        <w:rPr>
          <w:sz w:val="20"/>
          <w:u w:val="single"/>
        </w:rPr>
        <w:t>Refrigerant Requirements</w:t>
      </w:r>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w:t>
      </w:r>
      <w:r w:rsidRPr="00750F0D">
        <w:rPr>
          <w:sz w:val="20"/>
        </w:rPr>
        <w:lastRenderedPageBreak/>
        <w:t xml:space="preserve">requirements of 40 CFR 82, Subparts B and F, and with Chapter 62-281, F.A.C.  </w:t>
      </w:r>
    </w:p>
    <w:p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rsidR="00B52591" w:rsidRDefault="00B52591">
      <w:pPr>
        <w:rPr>
          <w:sz w:val="20"/>
        </w:rPr>
      </w:pPr>
    </w:p>
    <w:p w:rsidR="00BD6F2F" w:rsidRDefault="007841E9" w:rsidP="00BD6F2F">
      <w:hyperlink w:anchor="TOC" w:history="1">
        <w:r w:rsidR="00BD6F2F" w:rsidRPr="00BD6F2F">
          <w:rPr>
            <w:rStyle w:val="Hyperlink"/>
          </w:rPr>
          <w:t>T</w:t>
        </w:r>
        <w:r w:rsidR="00946942" w:rsidRPr="00BD6F2F">
          <w:rPr>
            <w:rStyle w:val="Hyperlink"/>
          </w:rPr>
          <w:t>able of</w:t>
        </w:r>
        <w:r w:rsidR="00BD6F2F" w:rsidRPr="00BD6F2F">
          <w:rPr>
            <w:rStyle w:val="Hyperlink"/>
          </w:rPr>
          <w:t xml:space="preserve"> C</w:t>
        </w:r>
        <w:r w:rsidR="00946942" w:rsidRPr="00BD6F2F">
          <w:rPr>
            <w:rStyle w:val="Hyperlink"/>
          </w:rPr>
          <w:t>ontents</w:t>
        </w:r>
      </w:hyperlink>
    </w:p>
    <w:p w:rsidR="00BD6F2F" w:rsidRPr="00750F0D" w:rsidRDefault="00BD6F2F">
      <w:pPr>
        <w:rPr>
          <w:sz w:val="20"/>
        </w:rPr>
      </w:pPr>
    </w:p>
    <w:p w:rsidR="00F61F2C" w:rsidRPr="00750F0D" w:rsidRDefault="00F61F2C">
      <w:pPr>
        <w:rPr>
          <w:sz w:val="20"/>
        </w:rPr>
      </w:pPr>
    </w:p>
    <w:p w:rsidR="00F61F2C" w:rsidRDefault="00F61F2C">
      <w:pPr>
        <w:sectPr w:rsidR="00F61F2C" w:rsidSect="00562877">
          <w:headerReference w:type="default" r:id="rId56"/>
          <w:footerReference w:type="default" r:id="rId57"/>
          <w:pgSz w:w="12240" w:h="15840" w:code="1"/>
          <w:pgMar w:top="720" w:right="1080" w:bottom="720" w:left="1080" w:header="720" w:footer="576" w:gutter="0"/>
          <w:paperSrc w:first="4" w:other="4"/>
          <w:pgNumType w:start="1"/>
          <w:cols w:space="720"/>
        </w:sectPr>
      </w:pPr>
    </w:p>
    <w:p w:rsidR="00E00BFE" w:rsidRPr="00750F0D" w:rsidRDefault="00E00BFE" w:rsidP="00FE7F4E">
      <w:pPr>
        <w:spacing w:after="120"/>
        <w:rPr>
          <w:sz w:val="20"/>
        </w:rPr>
      </w:pPr>
      <w:bookmarkStart w:id="102" w:name="U"/>
      <w:r w:rsidRPr="00750F0D">
        <w:rPr>
          <w:sz w:val="20"/>
          <w:u w:val="single"/>
        </w:rPr>
        <w:lastRenderedPageBreak/>
        <w:t>Unregulated</w:t>
      </w:r>
      <w:bookmarkEnd w:id="102"/>
      <w:r w:rsidRPr="00750F0D">
        <w:rPr>
          <w:sz w:val="20"/>
          <w:u w:val="single"/>
        </w:rPr>
        <w:t xml:space="preserve"> Emissions Units and/or Activities</w:t>
      </w:r>
      <w:r w:rsidRPr="00750F0D">
        <w:rPr>
          <w:sz w:val="20"/>
        </w:rP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E00BFE" w:rsidRPr="00750F0D" w:rsidRDefault="00E00BFE" w:rsidP="00FE7F4E">
      <w:pPr>
        <w:spacing w:after="120"/>
        <w:rPr>
          <w:sz w:val="20"/>
        </w:rPr>
      </w:pPr>
      <w:r w:rsidRPr="00750F0D">
        <w:rPr>
          <w:sz w:val="20"/>
        </w:rPr>
        <w:t>The below listed emissions units and/or activities are neither ‘regulated emissions units’ nor ‘insignificant emissions units’.</w:t>
      </w:r>
    </w:p>
    <w:p w:rsidR="00E00BFE" w:rsidRPr="00750F0D" w:rsidRDefault="00E00BFE" w:rsidP="00E00BFE">
      <w:pPr>
        <w:rPr>
          <w:b/>
          <w:sz w:val="20"/>
        </w:rPr>
      </w:pPr>
    </w:p>
    <w:tbl>
      <w:tblPr>
        <w:tblW w:w="0" w:type="auto"/>
        <w:tblLayout w:type="fixed"/>
        <w:tblLook w:val="0000" w:firstRow="0" w:lastRow="0" w:firstColumn="0" w:lastColumn="0" w:noHBand="0" w:noVBand="0"/>
      </w:tblPr>
      <w:tblGrid>
        <w:gridCol w:w="1008"/>
        <w:gridCol w:w="7848"/>
      </w:tblGrid>
      <w:tr w:rsidR="00967EA4" w:rsidRPr="005E7E7B" w:rsidTr="00426F1D">
        <w:tc>
          <w:tcPr>
            <w:tcW w:w="1008" w:type="dxa"/>
            <w:tcBorders>
              <w:top w:val="nil"/>
              <w:left w:val="nil"/>
              <w:bottom w:val="nil"/>
              <w:right w:val="nil"/>
            </w:tcBorders>
          </w:tcPr>
          <w:p w:rsidR="00967EA4" w:rsidRPr="005E7E7B" w:rsidRDefault="00967EA4" w:rsidP="00426F1D">
            <w:pPr>
              <w:rPr>
                <w:b/>
                <w:u w:val="single"/>
              </w:rPr>
            </w:pPr>
            <w:r w:rsidRPr="005E7E7B">
              <w:rPr>
                <w:b/>
                <w:u w:val="single"/>
              </w:rPr>
              <w:t>E.U.  ID No.</w:t>
            </w:r>
          </w:p>
        </w:tc>
        <w:tc>
          <w:tcPr>
            <w:tcW w:w="7848" w:type="dxa"/>
            <w:tcBorders>
              <w:top w:val="nil"/>
              <w:left w:val="nil"/>
              <w:bottom w:val="nil"/>
              <w:right w:val="nil"/>
            </w:tcBorders>
          </w:tcPr>
          <w:p w:rsidR="00967EA4" w:rsidRPr="005E7E7B" w:rsidRDefault="00967EA4" w:rsidP="00426F1D">
            <w:pPr>
              <w:rPr>
                <w:b/>
                <w:u w:val="single"/>
              </w:rPr>
            </w:pPr>
          </w:p>
          <w:p w:rsidR="00967EA4" w:rsidRPr="005E7E7B" w:rsidRDefault="00967EA4" w:rsidP="00426F1D">
            <w:pPr>
              <w:rPr>
                <w:b/>
                <w:u w:val="single"/>
              </w:rPr>
            </w:pPr>
            <w:r w:rsidRPr="005E7E7B">
              <w:rPr>
                <w:b/>
                <w:u w:val="single"/>
              </w:rPr>
              <w:t xml:space="preserve">Brief Description of Emissions Units and/or Activity </w:t>
            </w:r>
          </w:p>
        </w:tc>
      </w:tr>
      <w:tr w:rsidR="00967EA4" w:rsidRPr="005E7E7B" w:rsidTr="00426F1D">
        <w:trPr>
          <w:trHeight w:val="4239"/>
        </w:trPr>
        <w:tc>
          <w:tcPr>
            <w:tcW w:w="1008" w:type="dxa"/>
            <w:tcBorders>
              <w:top w:val="nil"/>
              <w:left w:val="nil"/>
              <w:bottom w:val="nil"/>
              <w:right w:val="nil"/>
            </w:tcBorders>
          </w:tcPr>
          <w:p w:rsidR="00967EA4" w:rsidRPr="005E7E7B" w:rsidRDefault="00967EA4" w:rsidP="00426F1D">
            <w:r w:rsidRPr="005E7E7B">
              <w:t>008</w:t>
            </w:r>
          </w:p>
        </w:tc>
        <w:tc>
          <w:tcPr>
            <w:tcW w:w="7848" w:type="dxa"/>
            <w:tcBorders>
              <w:top w:val="nil"/>
              <w:left w:val="nil"/>
              <w:bottom w:val="nil"/>
              <w:right w:val="nil"/>
            </w:tcBorders>
          </w:tcPr>
          <w:p w:rsidR="00967EA4" w:rsidRPr="005E7E7B" w:rsidRDefault="00967EA4" w:rsidP="00426F1D">
            <w:r w:rsidRPr="005E7E7B">
              <w:t>Facility Wide Fugitive Emissions</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Vehicle traffic on paved and unpaved roads</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Fuel and oil storage tanks</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Maintenance activities; including maintenance painting, parts cleaning, and welding</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Machine shop operations</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Sand and media blasting for maintenance painting</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Fugitive emissions from other emissions units</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Wastewater treatment operations including chemical handling and storage</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Use of sealants, fillers, lubricants, and adhesives</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Non-destructive material analysis (i.e. Magnaflux</w:t>
            </w:r>
            <w:r w:rsidRPr="005E7E7B">
              <w:rPr>
                <w:vertAlign w:val="superscript"/>
              </w:rPr>
              <w:t>TM</w:t>
            </w:r>
            <w:r w:rsidRPr="005E7E7B">
              <w:t>, X-Ray)</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Hanger and runway construction, maintenance and repair</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Hand sanding of aerospace vehicle and components</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Alodine conversion coating</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Composite material casting</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Miscellaneous woodworking operations</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Laboratory activities</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Fire suppression system</w:t>
            </w:r>
          </w:p>
          <w:p w:rsidR="00967EA4" w:rsidRPr="005E7E7B" w:rsidRDefault="00967EA4" w:rsidP="00967EA4">
            <w:pPr>
              <w:numPr>
                <w:ilvl w:val="0"/>
                <w:numId w:val="17"/>
              </w:numPr>
              <w:tabs>
                <w:tab w:val="left" w:pos="720"/>
              </w:tabs>
              <w:overflowPunct w:val="0"/>
              <w:autoSpaceDE w:val="0"/>
              <w:autoSpaceDN w:val="0"/>
              <w:adjustRightInd w:val="0"/>
              <w:textAlignment w:val="baseline"/>
            </w:pPr>
            <w:r w:rsidRPr="005E7E7B">
              <w:t>Space Heaters</w:t>
            </w:r>
          </w:p>
        </w:tc>
      </w:tr>
    </w:tbl>
    <w:p w:rsidR="00E00BFE" w:rsidRPr="00750F0D" w:rsidRDefault="00E00BFE" w:rsidP="00E00BFE">
      <w:pPr>
        <w:rPr>
          <w:sz w:val="20"/>
        </w:rPr>
      </w:pPr>
    </w:p>
    <w:p w:rsidR="00F61F2C" w:rsidRDefault="00F61F2C">
      <w:pPr>
        <w:rPr>
          <w:sz w:val="20"/>
        </w:rPr>
      </w:pPr>
    </w:p>
    <w:p w:rsidR="00BD6F2F" w:rsidRDefault="007841E9" w:rsidP="00BD6F2F">
      <w:hyperlink w:anchor="TOC" w:history="1">
        <w:r w:rsidR="00BD6F2F" w:rsidRPr="00BD6F2F">
          <w:rPr>
            <w:rStyle w:val="Hyperlink"/>
          </w:rPr>
          <w:t>T</w:t>
        </w:r>
        <w:r w:rsidR="00946942" w:rsidRPr="00BD6F2F">
          <w:rPr>
            <w:rStyle w:val="Hyperlink"/>
          </w:rPr>
          <w:t>able of</w:t>
        </w:r>
        <w:r w:rsidR="00BD6F2F" w:rsidRPr="00BD6F2F">
          <w:rPr>
            <w:rStyle w:val="Hyperlink"/>
          </w:rPr>
          <w:t xml:space="preserve"> C</w:t>
        </w:r>
        <w:r w:rsidR="00946942" w:rsidRPr="00BD6F2F">
          <w:rPr>
            <w:rStyle w:val="Hyperlink"/>
          </w:rPr>
          <w:t>ont</w:t>
        </w:r>
        <w:r w:rsidR="00946942" w:rsidRPr="00BD6F2F">
          <w:rPr>
            <w:rStyle w:val="Hyperlink"/>
          </w:rPr>
          <w:t>e</w:t>
        </w:r>
        <w:r w:rsidR="00946942" w:rsidRPr="00BD6F2F">
          <w:rPr>
            <w:rStyle w:val="Hyperlink"/>
          </w:rPr>
          <w:t>nts</w:t>
        </w:r>
      </w:hyperlink>
    </w:p>
    <w:p w:rsidR="00BD6F2F" w:rsidRPr="00750F0D" w:rsidRDefault="00BD6F2F">
      <w:pPr>
        <w:rPr>
          <w:sz w:val="20"/>
        </w:rPr>
      </w:pPr>
    </w:p>
    <w:p w:rsidR="00C445AF" w:rsidRPr="00750F0D" w:rsidRDefault="00C445AF">
      <w:pPr>
        <w:rPr>
          <w:sz w:val="20"/>
        </w:rPr>
      </w:pPr>
    </w:p>
    <w:p w:rsidR="00C445AF" w:rsidRDefault="00C445AF">
      <w:pPr>
        <w:sectPr w:rsidR="00C445AF" w:rsidSect="00E00BFE">
          <w:headerReference w:type="default" r:id="rId58"/>
          <w:footerReference w:type="default" r:id="rId59"/>
          <w:pgSz w:w="12240" w:h="15840"/>
          <w:pgMar w:top="1440" w:right="1080" w:bottom="1440" w:left="1080" w:header="720" w:footer="720" w:gutter="0"/>
          <w:pgNumType w:start="1"/>
          <w:cols w:space="720"/>
        </w:sectPr>
      </w:pPr>
    </w:p>
    <w:p w:rsidR="00C445AF" w:rsidRPr="00750F0D" w:rsidRDefault="00C445AF">
      <w:pPr>
        <w:rPr>
          <w:sz w:val="20"/>
        </w:rPr>
      </w:pPr>
    </w:p>
    <w:p w:rsidR="00C445AF" w:rsidRPr="00750F0D" w:rsidRDefault="00C445AF">
      <w:pPr>
        <w:rPr>
          <w:sz w:val="20"/>
        </w:rPr>
      </w:pPr>
      <w:r w:rsidRPr="00750F0D">
        <w:rPr>
          <w:sz w:val="20"/>
        </w:rPr>
        <w:t>The following attachments are included for convenient reference:</w:t>
      </w:r>
    </w:p>
    <w:p w:rsidR="00C445AF" w:rsidRPr="00750F0D" w:rsidRDefault="00C445AF">
      <w:pPr>
        <w:rPr>
          <w:sz w:val="20"/>
        </w:rPr>
      </w:pPr>
      <w:r w:rsidRPr="00750F0D">
        <w:rPr>
          <w:sz w:val="20"/>
        </w:rPr>
        <w:t xml:space="preserve">Table H, Permit </w:t>
      </w:r>
      <w:r w:rsidR="00FE7F4E" w:rsidRPr="00750F0D">
        <w:rPr>
          <w:sz w:val="20"/>
        </w:rPr>
        <w:t>History</w:t>
      </w:r>
      <w:r w:rsidR="004F3821" w:rsidRPr="00750F0D">
        <w:rPr>
          <w:sz w:val="20"/>
        </w:rPr>
        <w:t>.</w:t>
      </w:r>
    </w:p>
    <w:p w:rsidR="00C445AF" w:rsidRPr="00750F0D" w:rsidRDefault="00C445AF">
      <w:pPr>
        <w:rPr>
          <w:sz w:val="20"/>
        </w:rPr>
      </w:pPr>
      <w:r w:rsidRPr="00750F0D">
        <w:rPr>
          <w:sz w:val="20"/>
        </w:rPr>
        <w:t xml:space="preserve">Table 1, </w:t>
      </w:r>
      <w:r w:rsidR="004F3821" w:rsidRPr="00750F0D">
        <w:rPr>
          <w:sz w:val="20"/>
        </w:rPr>
        <w:t>Summary of Air Pollutant Standards and Terms.</w:t>
      </w:r>
    </w:p>
    <w:p w:rsidR="00C445AF" w:rsidRDefault="00C445AF">
      <w:pPr>
        <w:rPr>
          <w:sz w:val="20"/>
        </w:rPr>
      </w:pPr>
      <w:r w:rsidRPr="00750F0D">
        <w:rPr>
          <w:sz w:val="20"/>
        </w:rPr>
        <w:t>Table 2, Summary of Compliance Requirements</w:t>
      </w:r>
      <w:r w:rsidR="004F3821" w:rsidRPr="00750F0D">
        <w:rPr>
          <w:sz w:val="20"/>
        </w:rPr>
        <w:t>.</w:t>
      </w:r>
    </w:p>
    <w:p w:rsidR="00BD6F2F" w:rsidRDefault="00BD6F2F">
      <w:pPr>
        <w:rPr>
          <w:sz w:val="20"/>
        </w:rPr>
      </w:pPr>
    </w:p>
    <w:p w:rsidR="00BD6F2F" w:rsidRDefault="00BD6F2F">
      <w:pPr>
        <w:rPr>
          <w:sz w:val="20"/>
        </w:rPr>
      </w:pPr>
    </w:p>
    <w:p w:rsidR="00BD6F2F" w:rsidRDefault="007841E9" w:rsidP="00BD6F2F">
      <w:hyperlink w:anchor="TOC" w:history="1">
        <w:r w:rsidR="00BD6F2F" w:rsidRPr="00BD6F2F">
          <w:rPr>
            <w:rStyle w:val="Hyperlink"/>
          </w:rPr>
          <w:t>TABLE OF CONTENTS</w:t>
        </w:r>
      </w:hyperlink>
    </w:p>
    <w:p w:rsidR="00BD6F2F" w:rsidRDefault="00BD6F2F">
      <w:pPr>
        <w:rPr>
          <w:sz w:val="20"/>
        </w:rPr>
      </w:pPr>
    </w:p>
    <w:p w:rsidR="00BD6F2F" w:rsidRDefault="00BD6F2F"/>
    <w:p w:rsidR="00C82E72" w:rsidRDefault="00C82E72">
      <w:pPr>
        <w:sectPr w:rsidR="00C82E72" w:rsidSect="00E00BFE">
          <w:headerReference w:type="default" r:id="rId60"/>
          <w:footerReference w:type="default" r:id="rId61"/>
          <w:pgSz w:w="12240" w:h="15840"/>
          <w:pgMar w:top="1440" w:right="1080" w:bottom="1440" w:left="1080" w:header="720" w:footer="720" w:gutter="0"/>
          <w:pgNumType w:start="1"/>
          <w:cols w:space="720"/>
        </w:sectPr>
      </w:pPr>
    </w:p>
    <w:p w:rsidR="00C445AF" w:rsidRDefault="001227F7" w:rsidP="001227F7">
      <w:pPr>
        <w:spacing w:after="120"/>
      </w:pPr>
      <w:bookmarkStart w:id="103" w:name="H"/>
      <w:r>
        <w:rPr>
          <w:sz w:val="20"/>
        </w:rPr>
        <w:lastRenderedPageBreak/>
        <w:t>F</w:t>
      </w:r>
      <w:r w:rsidRPr="00D25A97">
        <w:rPr>
          <w:sz w:val="20"/>
        </w:rPr>
        <w:t>or</w:t>
      </w:r>
      <w:bookmarkEnd w:id="103"/>
      <w:r w:rsidRPr="00D25A97">
        <w:rPr>
          <w:sz w:val="20"/>
        </w:rPr>
        <w:t xml:space="preserve">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5" w:type="dxa"/>
        <w:tblLayout w:type="fixed"/>
        <w:tblLook w:val="0000" w:firstRow="0" w:lastRow="0" w:firstColumn="0" w:lastColumn="0" w:noHBand="0" w:noVBand="0"/>
      </w:tblPr>
      <w:tblGrid>
        <w:gridCol w:w="1473"/>
        <w:gridCol w:w="3330"/>
        <w:gridCol w:w="2070"/>
        <w:gridCol w:w="1800"/>
        <w:gridCol w:w="1800"/>
        <w:gridCol w:w="2430"/>
      </w:tblGrid>
      <w:tr w:rsidR="00C445AF" w:rsidTr="001227F7">
        <w:tc>
          <w:tcPr>
            <w:tcW w:w="1473" w:type="dxa"/>
            <w:tcBorders>
              <w:top w:val="single" w:sz="12" w:space="0" w:color="auto"/>
              <w:left w:val="single" w:sz="12" w:space="0" w:color="auto"/>
              <w:bottom w:val="single" w:sz="12" w:space="0" w:color="auto"/>
              <w:right w:val="single" w:sz="12" w:space="0" w:color="auto"/>
            </w:tcBorders>
            <w:vAlign w:val="center"/>
          </w:tcPr>
          <w:p w:rsidR="00C445AF" w:rsidRPr="001227F7" w:rsidRDefault="001227F7" w:rsidP="001227F7">
            <w:pPr>
              <w:spacing w:before="60" w:after="60"/>
              <w:jc w:val="center"/>
              <w:rPr>
                <w:b/>
                <w:sz w:val="20"/>
              </w:rPr>
            </w:pPr>
            <w:r>
              <w:rPr>
                <w:b/>
                <w:sz w:val="20"/>
              </w:rPr>
              <w:t>EU</w:t>
            </w:r>
            <w:r w:rsidR="00C445AF" w:rsidRPr="001227F7">
              <w:rPr>
                <w:b/>
                <w:sz w:val="20"/>
              </w:rPr>
              <w:t xml:space="preserve"> No.</w:t>
            </w:r>
          </w:p>
        </w:tc>
        <w:tc>
          <w:tcPr>
            <w:tcW w:w="333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ing1"/>
              <w:spacing w:before="60"/>
              <w:rPr>
                <w:rFonts w:ascii="Times New Roman" w:hAnsi="Times New Roman" w:cs="Times New Roman"/>
                <w:sz w:val="20"/>
                <w:szCs w:val="20"/>
              </w:rPr>
            </w:pPr>
            <w:r w:rsidRPr="001227F7">
              <w:rPr>
                <w:rFonts w:ascii="Times New Roman" w:hAnsi="Times New Roman" w:cs="Times New Roman"/>
                <w:sz w:val="20"/>
                <w:szCs w:val="20"/>
              </w:rPr>
              <w:t>Description</w:t>
            </w:r>
          </w:p>
        </w:tc>
        <w:tc>
          <w:tcPr>
            <w:tcW w:w="207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Permit No.</w:t>
            </w:r>
          </w:p>
        </w:tc>
        <w:tc>
          <w:tcPr>
            <w:tcW w:w="180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Effective Date</w:t>
            </w:r>
          </w:p>
        </w:tc>
        <w:tc>
          <w:tcPr>
            <w:tcW w:w="180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Expiration Date</w:t>
            </w:r>
          </w:p>
        </w:tc>
        <w:tc>
          <w:tcPr>
            <w:tcW w:w="243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spacing w:before="60" w:after="60"/>
              <w:jc w:val="center"/>
              <w:rPr>
                <w:b/>
                <w:sz w:val="20"/>
              </w:rPr>
            </w:pPr>
            <w:r w:rsidRPr="001227F7">
              <w:rPr>
                <w:b/>
                <w:sz w:val="20"/>
              </w:rPr>
              <w:t>Project Type</w:t>
            </w:r>
          </w:p>
        </w:tc>
      </w:tr>
      <w:tr w:rsidR="00A03D22" w:rsidRPr="001227F7" w:rsidTr="00426F1D">
        <w:tc>
          <w:tcPr>
            <w:tcW w:w="1473" w:type="dxa"/>
            <w:tcBorders>
              <w:top w:val="single" w:sz="12"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All</w:t>
            </w:r>
          </w:p>
        </w:tc>
        <w:tc>
          <w:tcPr>
            <w:tcW w:w="3330" w:type="dxa"/>
            <w:tcBorders>
              <w:top w:val="single" w:sz="12" w:space="0" w:color="auto"/>
              <w:left w:val="single" w:sz="12" w:space="0" w:color="auto"/>
              <w:bottom w:val="single" w:sz="8" w:space="0" w:color="auto"/>
              <w:right w:val="single" w:sz="12" w:space="0" w:color="auto"/>
            </w:tcBorders>
          </w:tcPr>
          <w:p w:rsidR="00A03D22" w:rsidRPr="00A03D22" w:rsidRDefault="00A03D22" w:rsidP="00A03D22">
            <w:pPr>
              <w:pStyle w:val="Header"/>
              <w:tabs>
                <w:tab w:val="clear" w:pos="4320"/>
                <w:tab w:val="clear" w:pos="8640"/>
              </w:tabs>
              <w:rPr>
                <w:bCs/>
                <w:szCs w:val="22"/>
              </w:rPr>
            </w:pPr>
            <w:r w:rsidRPr="00A03D22">
              <w:rPr>
                <w:bCs/>
                <w:szCs w:val="22"/>
              </w:rPr>
              <w:t>Facility</w:t>
            </w:r>
          </w:p>
        </w:tc>
        <w:tc>
          <w:tcPr>
            <w:tcW w:w="2070" w:type="dxa"/>
            <w:tcBorders>
              <w:top w:val="single" w:sz="12"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0230035-001-AV</w:t>
            </w:r>
          </w:p>
        </w:tc>
        <w:tc>
          <w:tcPr>
            <w:tcW w:w="1800" w:type="dxa"/>
            <w:tcBorders>
              <w:top w:val="single" w:sz="12"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06/01/98</w:t>
            </w:r>
          </w:p>
        </w:tc>
        <w:tc>
          <w:tcPr>
            <w:tcW w:w="1800" w:type="dxa"/>
            <w:tcBorders>
              <w:top w:val="single" w:sz="12"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06/01/03</w:t>
            </w:r>
          </w:p>
        </w:tc>
        <w:tc>
          <w:tcPr>
            <w:tcW w:w="2430" w:type="dxa"/>
            <w:tcBorders>
              <w:top w:val="single" w:sz="12"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Initial</w:t>
            </w:r>
          </w:p>
        </w:tc>
      </w:tr>
      <w:tr w:rsidR="00A03D22" w:rsidRPr="001227F7" w:rsidTr="00426F1D">
        <w:tc>
          <w:tcPr>
            <w:tcW w:w="1473"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All</w:t>
            </w:r>
          </w:p>
        </w:tc>
        <w:tc>
          <w:tcPr>
            <w:tcW w:w="33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pStyle w:val="Header"/>
              <w:tabs>
                <w:tab w:val="clear" w:pos="4320"/>
                <w:tab w:val="clear" w:pos="8640"/>
              </w:tabs>
              <w:rPr>
                <w:bCs/>
                <w:szCs w:val="22"/>
              </w:rPr>
            </w:pPr>
            <w:r w:rsidRPr="00A03D22">
              <w:rPr>
                <w:bCs/>
                <w:szCs w:val="22"/>
              </w:rPr>
              <w:t>Facility</w:t>
            </w:r>
          </w:p>
        </w:tc>
        <w:tc>
          <w:tcPr>
            <w:tcW w:w="207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0230035-002-AV</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08/19/99</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w:t>
            </w:r>
          </w:p>
        </w:tc>
        <w:tc>
          <w:tcPr>
            <w:tcW w:w="24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Administrative Correction</w:t>
            </w:r>
          </w:p>
        </w:tc>
      </w:tr>
      <w:tr w:rsidR="00A03D22" w:rsidRPr="001227F7" w:rsidTr="00426F1D">
        <w:tc>
          <w:tcPr>
            <w:tcW w:w="1473"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All</w:t>
            </w:r>
          </w:p>
        </w:tc>
        <w:tc>
          <w:tcPr>
            <w:tcW w:w="33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pStyle w:val="Header"/>
              <w:tabs>
                <w:tab w:val="clear" w:pos="4320"/>
                <w:tab w:val="clear" w:pos="8640"/>
              </w:tabs>
              <w:rPr>
                <w:bCs/>
                <w:szCs w:val="22"/>
              </w:rPr>
            </w:pPr>
            <w:r w:rsidRPr="00A03D22">
              <w:rPr>
                <w:bCs/>
                <w:szCs w:val="22"/>
              </w:rPr>
              <w:t>Facility</w:t>
            </w:r>
          </w:p>
        </w:tc>
        <w:tc>
          <w:tcPr>
            <w:tcW w:w="207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0230035-003-AV</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01/20/00</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06/01/03</w:t>
            </w:r>
          </w:p>
        </w:tc>
        <w:tc>
          <w:tcPr>
            <w:tcW w:w="24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Revision</w:t>
            </w:r>
          </w:p>
        </w:tc>
      </w:tr>
      <w:tr w:rsidR="00A03D22" w:rsidRPr="001227F7" w:rsidTr="00426F1D">
        <w:tc>
          <w:tcPr>
            <w:tcW w:w="1473"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All</w:t>
            </w:r>
          </w:p>
        </w:tc>
        <w:tc>
          <w:tcPr>
            <w:tcW w:w="33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pStyle w:val="Header"/>
              <w:tabs>
                <w:tab w:val="clear" w:pos="4320"/>
                <w:tab w:val="clear" w:pos="8640"/>
              </w:tabs>
              <w:rPr>
                <w:bCs/>
                <w:szCs w:val="22"/>
              </w:rPr>
            </w:pPr>
            <w:r w:rsidRPr="00A03D22">
              <w:rPr>
                <w:bCs/>
                <w:szCs w:val="22"/>
              </w:rPr>
              <w:t>Facility</w:t>
            </w:r>
          </w:p>
        </w:tc>
        <w:tc>
          <w:tcPr>
            <w:tcW w:w="207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0230035-004-AV</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05/27/03</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05/27/08</w:t>
            </w:r>
          </w:p>
        </w:tc>
        <w:tc>
          <w:tcPr>
            <w:tcW w:w="24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Renewal</w:t>
            </w:r>
          </w:p>
        </w:tc>
      </w:tr>
      <w:tr w:rsidR="00A03D22" w:rsidRPr="001227F7" w:rsidTr="00426F1D">
        <w:tc>
          <w:tcPr>
            <w:tcW w:w="1473"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All</w:t>
            </w:r>
          </w:p>
        </w:tc>
        <w:tc>
          <w:tcPr>
            <w:tcW w:w="33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Facility</w:t>
            </w:r>
          </w:p>
        </w:tc>
        <w:tc>
          <w:tcPr>
            <w:tcW w:w="207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0230035-005-AV</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04/25/08</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04/25/13</w:t>
            </w:r>
          </w:p>
        </w:tc>
        <w:tc>
          <w:tcPr>
            <w:tcW w:w="24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Renewal</w:t>
            </w:r>
          </w:p>
        </w:tc>
      </w:tr>
      <w:tr w:rsidR="00A03D22" w:rsidRPr="001227F7" w:rsidTr="00426F1D">
        <w:tc>
          <w:tcPr>
            <w:tcW w:w="1473"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All</w:t>
            </w:r>
          </w:p>
        </w:tc>
        <w:tc>
          <w:tcPr>
            <w:tcW w:w="33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pStyle w:val="Header"/>
              <w:tabs>
                <w:tab w:val="clear" w:pos="4320"/>
                <w:tab w:val="clear" w:pos="8640"/>
              </w:tabs>
              <w:rPr>
                <w:bCs/>
                <w:szCs w:val="22"/>
              </w:rPr>
            </w:pPr>
            <w:r w:rsidRPr="00A03D22">
              <w:rPr>
                <w:bCs/>
                <w:szCs w:val="22"/>
              </w:rPr>
              <w:t>Facility</w:t>
            </w:r>
          </w:p>
        </w:tc>
        <w:tc>
          <w:tcPr>
            <w:tcW w:w="207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0230035-001-AV</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06/01/98</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06/01/03</w:t>
            </w:r>
          </w:p>
        </w:tc>
        <w:tc>
          <w:tcPr>
            <w:tcW w:w="24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Initial</w:t>
            </w:r>
          </w:p>
        </w:tc>
      </w:tr>
      <w:tr w:rsidR="00A03D22" w:rsidRPr="001227F7" w:rsidTr="00426F1D">
        <w:tc>
          <w:tcPr>
            <w:tcW w:w="1473"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All</w:t>
            </w:r>
          </w:p>
        </w:tc>
        <w:tc>
          <w:tcPr>
            <w:tcW w:w="33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pStyle w:val="Header"/>
              <w:tabs>
                <w:tab w:val="clear" w:pos="4320"/>
                <w:tab w:val="clear" w:pos="8640"/>
              </w:tabs>
              <w:rPr>
                <w:bCs/>
                <w:szCs w:val="22"/>
              </w:rPr>
            </w:pPr>
            <w:r w:rsidRPr="00A03D22">
              <w:rPr>
                <w:bCs/>
                <w:szCs w:val="22"/>
              </w:rPr>
              <w:t>Facility</w:t>
            </w:r>
          </w:p>
        </w:tc>
        <w:tc>
          <w:tcPr>
            <w:tcW w:w="207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0230035-002-AV</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08/19/99</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w:t>
            </w:r>
          </w:p>
        </w:tc>
        <w:tc>
          <w:tcPr>
            <w:tcW w:w="24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Administrative Correction</w:t>
            </w:r>
          </w:p>
        </w:tc>
      </w:tr>
      <w:tr w:rsidR="00A03D22" w:rsidRPr="001227F7" w:rsidTr="00426F1D">
        <w:tc>
          <w:tcPr>
            <w:tcW w:w="1473"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All</w:t>
            </w:r>
          </w:p>
        </w:tc>
        <w:tc>
          <w:tcPr>
            <w:tcW w:w="33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pStyle w:val="Header"/>
              <w:tabs>
                <w:tab w:val="clear" w:pos="4320"/>
                <w:tab w:val="clear" w:pos="8640"/>
              </w:tabs>
              <w:rPr>
                <w:bCs/>
                <w:szCs w:val="22"/>
              </w:rPr>
            </w:pPr>
            <w:r w:rsidRPr="00A03D22">
              <w:rPr>
                <w:bCs/>
                <w:szCs w:val="22"/>
              </w:rPr>
              <w:t>Facility</w:t>
            </w:r>
          </w:p>
        </w:tc>
        <w:tc>
          <w:tcPr>
            <w:tcW w:w="207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0230035-003-AV</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01/20/00</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06/01/03</w:t>
            </w:r>
          </w:p>
        </w:tc>
        <w:tc>
          <w:tcPr>
            <w:tcW w:w="24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Revision</w:t>
            </w:r>
          </w:p>
        </w:tc>
      </w:tr>
      <w:tr w:rsidR="00A03D22" w:rsidRPr="001227F7" w:rsidTr="00426F1D">
        <w:tc>
          <w:tcPr>
            <w:tcW w:w="1473"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All</w:t>
            </w:r>
          </w:p>
        </w:tc>
        <w:tc>
          <w:tcPr>
            <w:tcW w:w="33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pStyle w:val="Header"/>
              <w:tabs>
                <w:tab w:val="clear" w:pos="4320"/>
                <w:tab w:val="clear" w:pos="8640"/>
              </w:tabs>
              <w:rPr>
                <w:bCs/>
                <w:szCs w:val="22"/>
              </w:rPr>
            </w:pPr>
            <w:r w:rsidRPr="00A03D22">
              <w:rPr>
                <w:bCs/>
                <w:szCs w:val="22"/>
              </w:rPr>
              <w:t>Facility</w:t>
            </w:r>
          </w:p>
        </w:tc>
        <w:tc>
          <w:tcPr>
            <w:tcW w:w="207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0230035-004-AV</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05/27/03</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05/27/08</w:t>
            </w:r>
          </w:p>
        </w:tc>
        <w:tc>
          <w:tcPr>
            <w:tcW w:w="24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Renewal</w:t>
            </w:r>
          </w:p>
        </w:tc>
      </w:tr>
      <w:tr w:rsidR="00A03D22" w:rsidRPr="001227F7" w:rsidTr="00426F1D">
        <w:tc>
          <w:tcPr>
            <w:tcW w:w="1473"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All</w:t>
            </w:r>
          </w:p>
        </w:tc>
        <w:tc>
          <w:tcPr>
            <w:tcW w:w="33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Facility</w:t>
            </w:r>
          </w:p>
        </w:tc>
        <w:tc>
          <w:tcPr>
            <w:tcW w:w="207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0230035-005-AV</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04/25/08</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04/25/13</w:t>
            </w:r>
          </w:p>
        </w:tc>
        <w:tc>
          <w:tcPr>
            <w:tcW w:w="24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Renewal</w:t>
            </w:r>
          </w:p>
        </w:tc>
      </w:tr>
      <w:tr w:rsidR="00A03D22" w:rsidRPr="001227F7" w:rsidTr="00426F1D">
        <w:tc>
          <w:tcPr>
            <w:tcW w:w="1473"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All</w:t>
            </w:r>
          </w:p>
        </w:tc>
        <w:tc>
          <w:tcPr>
            <w:tcW w:w="33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pStyle w:val="Header"/>
              <w:tabs>
                <w:tab w:val="clear" w:pos="4320"/>
                <w:tab w:val="clear" w:pos="8640"/>
              </w:tabs>
              <w:rPr>
                <w:bCs/>
                <w:szCs w:val="22"/>
              </w:rPr>
            </w:pPr>
            <w:r w:rsidRPr="00A03D22">
              <w:rPr>
                <w:bCs/>
                <w:szCs w:val="22"/>
              </w:rPr>
              <w:t>Facility</w:t>
            </w:r>
          </w:p>
        </w:tc>
        <w:tc>
          <w:tcPr>
            <w:tcW w:w="207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0230035-001-AV</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06/01/98</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06/01/03</w:t>
            </w:r>
          </w:p>
        </w:tc>
        <w:tc>
          <w:tcPr>
            <w:tcW w:w="24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r w:rsidRPr="00A03D22">
              <w:rPr>
                <w:bCs/>
                <w:szCs w:val="22"/>
              </w:rPr>
              <w:t>Initial</w:t>
            </w:r>
          </w:p>
        </w:tc>
      </w:tr>
      <w:tr w:rsidR="00A03D22" w:rsidRPr="001227F7" w:rsidTr="00A03D22">
        <w:tc>
          <w:tcPr>
            <w:tcW w:w="1473"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szCs w:val="22"/>
              </w:rPr>
            </w:pPr>
            <w:r w:rsidRPr="00A03D22">
              <w:rPr>
                <w:szCs w:val="22"/>
              </w:rPr>
              <w:t>All</w:t>
            </w:r>
          </w:p>
        </w:tc>
        <w:tc>
          <w:tcPr>
            <w:tcW w:w="33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pStyle w:val="Header"/>
              <w:tabs>
                <w:tab w:val="clear" w:pos="4320"/>
                <w:tab w:val="clear" w:pos="8640"/>
              </w:tabs>
              <w:rPr>
                <w:szCs w:val="22"/>
              </w:rPr>
            </w:pPr>
            <w:r w:rsidRPr="00A03D22">
              <w:rPr>
                <w:szCs w:val="22"/>
              </w:rPr>
              <w:t>Facility</w:t>
            </w:r>
          </w:p>
        </w:tc>
        <w:tc>
          <w:tcPr>
            <w:tcW w:w="207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szCs w:val="22"/>
              </w:rPr>
            </w:pPr>
            <w:r w:rsidRPr="00A03D22">
              <w:rPr>
                <w:bCs/>
                <w:szCs w:val="22"/>
              </w:rPr>
              <w:t>0230035-006-</w:t>
            </w:r>
            <w:r w:rsidRPr="00A03D22">
              <w:rPr>
                <w:szCs w:val="22"/>
              </w:rPr>
              <w:t>AV</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szCs w:val="22"/>
              </w:rPr>
            </w:pPr>
            <w:r w:rsidRPr="00A03D22">
              <w:rPr>
                <w:szCs w:val="22"/>
              </w:rPr>
              <w:t>01/08/2013</w:t>
            </w: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szCs w:val="22"/>
              </w:rPr>
            </w:pPr>
            <w:r w:rsidRPr="00A03D22">
              <w:rPr>
                <w:szCs w:val="22"/>
              </w:rPr>
              <w:t>01/08/2018</w:t>
            </w:r>
          </w:p>
        </w:tc>
        <w:tc>
          <w:tcPr>
            <w:tcW w:w="24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szCs w:val="22"/>
              </w:rPr>
            </w:pPr>
            <w:r w:rsidRPr="00A03D22">
              <w:rPr>
                <w:szCs w:val="22"/>
              </w:rPr>
              <w:t>Renewal</w:t>
            </w:r>
          </w:p>
        </w:tc>
      </w:tr>
      <w:tr w:rsidR="00A03D22" w:rsidRPr="001227F7" w:rsidTr="00A03D22">
        <w:tc>
          <w:tcPr>
            <w:tcW w:w="1473"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szCs w:val="22"/>
              </w:rPr>
            </w:pPr>
            <w:r w:rsidRPr="00A03D22">
              <w:rPr>
                <w:szCs w:val="22"/>
              </w:rPr>
              <w:t>All</w:t>
            </w:r>
          </w:p>
        </w:tc>
        <w:tc>
          <w:tcPr>
            <w:tcW w:w="33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pStyle w:val="Header"/>
              <w:tabs>
                <w:tab w:val="clear" w:pos="4320"/>
                <w:tab w:val="clear" w:pos="8640"/>
              </w:tabs>
              <w:rPr>
                <w:szCs w:val="22"/>
              </w:rPr>
            </w:pPr>
            <w:r w:rsidRPr="00A03D22">
              <w:rPr>
                <w:szCs w:val="22"/>
              </w:rPr>
              <w:t>Facility</w:t>
            </w:r>
          </w:p>
        </w:tc>
        <w:tc>
          <w:tcPr>
            <w:tcW w:w="207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szCs w:val="22"/>
              </w:rPr>
            </w:pPr>
            <w:r w:rsidRPr="00A03D22">
              <w:rPr>
                <w:bCs/>
                <w:szCs w:val="22"/>
              </w:rPr>
              <w:t>0230035-00</w:t>
            </w:r>
            <w:r>
              <w:rPr>
                <w:bCs/>
                <w:szCs w:val="22"/>
              </w:rPr>
              <w:t>8</w:t>
            </w:r>
            <w:r w:rsidRPr="00A03D22">
              <w:rPr>
                <w:bCs/>
                <w:szCs w:val="22"/>
              </w:rPr>
              <w:t>-</w:t>
            </w:r>
            <w:r w:rsidRPr="00A03D22">
              <w:rPr>
                <w:szCs w:val="22"/>
              </w:rPr>
              <w:t>AV</w:t>
            </w:r>
          </w:p>
        </w:tc>
        <w:tc>
          <w:tcPr>
            <w:tcW w:w="1800" w:type="dxa"/>
            <w:tcBorders>
              <w:top w:val="single" w:sz="8" w:space="0" w:color="auto"/>
              <w:left w:val="single" w:sz="12" w:space="0" w:color="auto"/>
              <w:bottom w:val="single" w:sz="8" w:space="0" w:color="auto"/>
              <w:right w:val="single" w:sz="12" w:space="0" w:color="auto"/>
            </w:tcBorders>
          </w:tcPr>
          <w:p w:rsidR="00A03D22" w:rsidRPr="00946942" w:rsidRDefault="00A03D22" w:rsidP="00A03D22">
            <w:pPr>
              <w:rPr>
                <w:szCs w:val="22"/>
              </w:rPr>
            </w:pPr>
            <w:r w:rsidRPr="00946942">
              <w:rPr>
                <w:szCs w:val="22"/>
              </w:rPr>
              <w:t>xx/xx/xxxx</w:t>
            </w:r>
          </w:p>
        </w:tc>
        <w:tc>
          <w:tcPr>
            <w:tcW w:w="1800" w:type="dxa"/>
            <w:tcBorders>
              <w:top w:val="single" w:sz="8" w:space="0" w:color="auto"/>
              <w:left w:val="single" w:sz="12" w:space="0" w:color="auto"/>
              <w:bottom w:val="single" w:sz="8" w:space="0" w:color="auto"/>
              <w:right w:val="single" w:sz="12" w:space="0" w:color="auto"/>
            </w:tcBorders>
          </w:tcPr>
          <w:p w:rsidR="00A03D22" w:rsidRPr="00946942" w:rsidRDefault="00A03D22" w:rsidP="00A03D22">
            <w:pPr>
              <w:rPr>
                <w:szCs w:val="22"/>
              </w:rPr>
            </w:pPr>
            <w:r w:rsidRPr="00946942">
              <w:rPr>
                <w:szCs w:val="22"/>
              </w:rPr>
              <w:t>xx/xx/xxxx</w:t>
            </w:r>
          </w:p>
        </w:tc>
        <w:tc>
          <w:tcPr>
            <w:tcW w:w="24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szCs w:val="22"/>
              </w:rPr>
            </w:pPr>
            <w:r w:rsidRPr="00A03D22">
              <w:rPr>
                <w:szCs w:val="22"/>
              </w:rPr>
              <w:t>Renewal</w:t>
            </w:r>
          </w:p>
        </w:tc>
      </w:tr>
      <w:tr w:rsidR="00A03D22" w:rsidRPr="001227F7" w:rsidTr="00A03D22">
        <w:tc>
          <w:tcPr>
            <w:tcW w:w="1473"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szCs w:val="22"/>
              </w:rPr>
            </w:pPr>
          </w:p>
        </w:tc>
        <w:tc>
          <w:tcPr>
            <w:tcW w:w="33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pStyle w:val="Header"/>
              <w:tabs>
                <w:tab w:val="clear" w:pos="4320"/>
                <w:tab w:val="clear" w:pos="8640"/>
              </w:tabs>
              <w:rPr>
                <w:szCs w:val="22"/>
              </w:rPr>
            </w:pPr>
          </w:p>
        </w:tc>
        <w:tc>
          <w:tcPr>
            <w:tcW w:w="207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bCs/>
                <w:szCs w:val="22"/>
              </w:rPr>
            </w:pP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szCs w:val="22"/>
              </w:rPr>
            </w:pPr>
          </w:p>
        </w:tc>
        <w:tc>
          <w:tcPr>
            <w:tcW w:w="180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szCs w:val="22"/>
              </w:rPr>
            </w:pPr>
          </w:p>
        </w:tc>
        <w:tc>
          <w:tcPr>
            <w:tcW w:w="2430" w:type="dxa"/>
            <w:tcBorders>
              <w:top w:val="single" w:sz="8" w:space="0" w:color="auto"/>
              <w:left w:val="single" w:sz="12" w:space="0" w:color="auto"/>
              <w:bottom w:val="single" w:sz="8" w:space="0" w:color="auto"/>
              <w:right w:val="single" w:sz="12" w:space="0" w:color="auto"/>
            </w:tcBorders>
          </w:tcPr>
          <w:p w:rsidR="00A03D22" w:rsidRPr="00A03D22" w:rsidRDefault="00A03D22" w:rsidP="00A03D22">
            <w:pPr>
              <w:rPr>
                <w:szCs w:val="22"/>
              </w:rPr>
            </w:pPr>
          </w:p>
        </w:tc>
      </w:tr>
      <w:tr w:rsidR="00A03D22" w:rsidRPr="001227F7" w:rsidTr="00426F1D">
        <w:tc>
          <w:tcPr>
            <w:tcW w:w="1473" w:type="dxa"/>
            <w:tcBorders>
              <w:top w:val="single" w:sz="8" w:space="0" w:color="auto"/>
              <w:left w:val="single" w:sz="12" w:space="0" w:color="auto"/>
              <w:bottom w:val="single" w:sz="12" w:space="0" w:color="auto"/>
              <w:right w:val="single" w:sz="12" w:space="0" w:color="auto"/>
            </w:tcBorders>
          </w:tcPr>
          <w:p w:rsidR="00A03D22" w:rsidRPr="00A03D22" w:rsidRDefault="00A03D22" w:rsidP="00A03D22">
            <w:pPr>
              <w:rPr>
                <w:szCs w:val="22"/>
              </w:rPr>
            </w:pPr>
          </w:p>
        </w:tc>
        <w:tc>
          <w:tcPr>
            <w:tcW w:w="3330" w:type="dxa"/>
            <w:tcBorders>
              <w:top w:val="single" w:sz="8" w:space="0" w:color="auto"/>
              <w:left w:val="single" w:sz="12" w:space="0" w:color="auto"/>
              <w:bottom w:val="single" w:sz="12" w:space="0" w:color="auto"/>
              <w:right w:val="single" w:sz="12" w:space="0" w:color="auto"/>
            </w:tcBorders>
          </w:tcPr>
          <w:p w:rsidR="00A03D22" w:rsidRPr="00A03D22" w:rsidRDefault="00A03D22" w:rsidP="00A03D22">
            <w:pPr>
              <w:pStyle w:val="Header"/>
              <w:tabs>
                <w:tab w:val="clear" w:pos="4320"/>
                <w:tab w:val="clear" w:pos="8640"/>
              </w:tabs>
              <w:rPr>
                <w:szCs w:val="22"/>
              </w:rPr>
            </w:pPr>
          </w:p>
        </w:tc>
        <w:tc>
          <w:tcPr>
            <w:tcW w:w="2070" w:type="dxa"/>
            <w:tcBorders>
              <w:top w:val="single" w:sz="8" w:space="0" w:color="auto"/>
              <w:left w:val="single" w:sz="12" w:space="0" w:color="auto"/>
              <w:bottom w:val="single" w:sz="12" w:space="0" w:color="auto"/>
              <w:right w:val="single" w:sz="12" w:space="0" w:color="auto"/>
            </w:tcBorders>
          </w:tcPr>
          <w:p w:rsidR="00A03D22" w:rsidRPr="00A03D22" w:rsidRDefault="00A03D22" w:rsidP="00A03D22">
            <w:pPr>
              <w:rPr>
                <w:bCs/>
                <w:szCs w:val="22"/>
              </w:rPr>
            </w:pPr>
          </w:p>
        </w:tc>
        <w:tc>
          <w:tcPr>
            <w:tcW w:w="1800" w:type="dxa"/>
            <w:tcBorders>
              <w:top w:val="single" w:sz="8" w:space="0" w:color="auto"/>
              <w:left w:val="single" w:sz="12" w:space="0" w:color="auto"/>
              <w:bottom w:val="single" w:sz="12" w:space="0" w:color="auto"/>
              <w:right w:val="single" w:sz="12" w:space="0" w:color="auto"/>
            </w:tcBorders>
          </w:tcPr>
          <w:p w:rsidR="00A03D22" w:rsidRPr="00A03D22" w:rsidRDefault="00A03D22" w:rsidP="00A03D22">
            <w:pPr>
              <w:rPr>
                <w:szCs w:val="22"/>
              </w:rPr>
            </w:pPr>
          </w:p>
        </w:tc>
        <w:tc>
          <w:tcPr>
            <w:tcW w:w="1800" w:type="dxa"/>
            <w:tcBorders>
              <w:top w:val="single" w:sz="8" w:space="0" w:color="auto"/>
              <w:left w:val="single" w:sz="12" w:space="0" w:color="auto"/>
              <w:bottom w:val="single" w:sz="12" w:space="0" w:color="auto"/>
              <w:right w:val="single" w:sz="12" w:space="0" w:color="auto"/>
            </w:tcBorders>
          </w:tcPr>
          <w:p w:rsidR="00A03D22" w:rsidRPr="00A03D22" w:rsidRDefault="00A03D22" w:rsidP="00A03D22">
            <w:pPr>
              <w:rPr>
                <w:szCs w:val="22"/>
              </w:rPr>
            </w:pPr>
          </w:p>
        </w:tc>
        <w:tc>
          <w:tcPr>
            <w:tcW w:w="2430" w:type="dxa"/>
            <w:tcBorders>
              <w:top w:val="single" w:sz="8" w:space="0" w:color="auto"/>
              <w:left w:val="single" w:sz="12" w:space="0" w:color="auto"/>
              <w:bottom w:val="single" w:sz="12" w:space="0" w:color="auto"/>
              <w:right w:val="single" w:sz="12" w:space="0" w:color="auto"/>
            </w:tcBorders>
          </w:tcPr>
          <w:p w:rsidR="00A03D22" w:rsidRPr="00A03D22" w:rsidRDefault="00A03D22" w:rsidP="00A03D22">
            <w:pPr>
              <w:rPr>
                <w:szCs w:val="22"/>
              </w:rPr>
            </w:pPr>
          </w:p>
        </w:tc>
      </w:tr>
    </w:tbl>
    <w:p w:rsidR="00C445AF" w:rsidRDefault="00C445AF" w:rsidP="00C445AF">
      <w:pPr>
        <w:rPr>
          <w:vertAlign w:val="superscript"/>
        </w:rPr>
      </w:pPr>
    </w:p>
    <w:p w:rsidR="00797067" w:rsidRDefault="00797067" w:rsidP="00C445AF">
      <w:pPr>
        <w:rPr>
          <w:vertAlign w:val="superscript"/>
        </w:rPr>
      </w:pPr>
    </w:p>
    <w:p w:rsidR="00A26379" w:rsidRDefault="00A26379"/>
    <w:p w:rsidR="00BD6F2F" w:rsidRDefault="00BD6F2F"/>
    <w:p w:rsidR="00BD6F2F" w:rsidRDefault="007841E9" w:rsidP="00BD6F2F">
      <w:hyperlink w:anchor="TOC" w:history="1">
        <w:r w:rsidR="00BD6F2F" w:rsidRPr="00BD6F2F">
          <w:rPr>
            <w:rStyle w:val="Hyperlink"/>
          </w:rPr>
          <w:t>T</w:t>
        </w:r>
        <w:r w:rsidR="00946942" w:rsidRPr="00BD6F2F">
          <w:rPr>
            <w:rStyle w:val="Hyperlink"/>
          </w:rPr>
          <w:t>able of</w:t>
        </w:r>
        <w:r w:rsidR="00BD6F2F" w:rsidRPr="00BD6F2F">
          <w:rPr>
            <w:rStyle w:val="Hyperlink"/>
          </w:rPr>
          <w:t xml:space="preserve"> C</w:t>
        </w:r>
        <w:r w:rsidR="00946942" w:rsidRPr="00BD6F2F">
          <w:rPr>
            <w:rStyle w:val="Hyperlink"/>
          </w:rPr>
          <w:t>onte</w:t>
        </w:r>
        <w:r w:rsidR="00946942" w:rsidRPr="00BD6F2F">
          <w:rPr>
            <w:rStyle w:val="Hyperlink"/>
          </w:rPr>
          <w:t>n</w:t>
        </w:r>
        <w:r w:rsidR="00946942" w:rsidRPr="00BD6F2F">
          <w:rPr>
            <w:rStyle w:val="Hyperlink"/>
          </w:rPr>
          <w:t>ts</w:t>
        </w:r>
      </w:hyperlink>
    </w:p>
    <w:sectPr w:rsidR="00BD6F2F" w:rsidSect="004F3821">
      <w:headerReference w:type="default" r:id="rId62"/>
      <w:footerReference w:type="default" r:id="rId63"/>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FFD" w:rsidRDefault="00661FFD">
      <w:r>
        <w:separator/>
      </w:r>
    </w:p>
  </w:endnote>
  <w:endnote w:type="continuationSeparator" w:id="0">
    <w:p w:rsidR="00661FFD" w:rsidRDefault="00661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51CD0" w:rsidRDefault="00661FFD" w:rsidP="00CA6AEB">
    <w:pPr>
      <w:pStyle w:val="Footer"/>
      <w:pBdr>
        <w:top w:val="single" w:sz="6" w:space="1" w:color="auto"/>
      </w:pBdr>
      <w:tabs>
        <w:tab w:val="clear" w:pos="4320"/>
        <w:tab w:val="clear" w:pos="8640"/>
        <w:tab w:val="right" w:pos="10080"/>
      </w:tabs>
      <w:spacing w:before="240"/>
      <w:rPr>
        <w:sz w:val="20"/>
      </w:rPr>
    </w:pPr>
    <w:r w:rsidRPr="00EB234A">
      <w:rPr>
        <w:sz w:val="20"/>
      </w:rPr>
      <w:t>TIMCO Aviation Services, Inc. dba HAECO Airframe Services</w:t>
    </w:r>
    <w:r w:rsidRPr="00751CD0">
      <w:rPr>
        <w:sz w:val="20"/>
      </w:rPr>
      <w:tab/>
    </w:r>
    <w:r>
      <w:rPr>
        <w:sz w:val="20"/>
      </w:rPr>
      <w:t>Permit</w:t>
    </w:r>
    <w:r w:rsidRPr="00751CD0">
      <w:rPr>
        <w:sz w:val="20"/>
      </w:rPr>
      <w:t xml:space="preserve"> No. </w:t>
    </w:r>
    <w:r>
      <w:rPr>
        <w:sz w:val="20"/>
      </w:rPr>
      <w:t>0230035-008</w:t>
    </w:r>
    <w:r w:rsidRPr="00751CD0">
      <w:rPr>
        <w:sz w:val="20"/>
      </w:rPr>
      <w:t>-A</w:t>
    </w:r>
    <w:r>
      <w:rPr>
        <w:sz w:val="20"/>
      </w:rPr>
      <w:t>V</w:t>
    </w:r>
  </w:p>
  <w:p w:rsidR="00661FFD" w:rsidRPr="00751CD0" w:rsidRDefault="00661FFD" w:rsidP="00CA6AEB">
    <w:pPr>
      <w:pStyle w:val="Footer"/>
      <w:tabs>
        <w:tab w:val="clear" w:pos="4320"/>
        <w:tab w:val="clear" w:pos="8640"/>
        <w:tab w:val="right" w:pos="10080"/>
      </w:tabs>
      <w:rPr>
        <w:sz w:val="20"/>
      </w:rPr>
    </w:pPr>
    <w:r w:rsidRPr="00EB234A">
      <w:rPr>
        <w:sz w:val="20"/>
      </w:rPr>
      <w:t>HAECO Airframe Service</w:t>
    </w:r>
    <w:r w:rsidRPr="003B6A30">
      <w:rPr>
        <w:sz w:val="20"/>
      </w:rPr>
      <w:tab/>
    </w:r>
    <w:r>
      <w:rPr>
        <w:sz w:val="20"/>
      </w:rPr>
      <w:t>Title V Air Operation Perm</w:t>
    </w:r>
    <w:r w:rsidRPr="00EB234A">
      <w:rPr>
        <w:sz w:val="20"/>
      </w:rPr>
      <w:t>it Renewal</w:t>
    </w:r>
  </w:p>
  <w:p w:rsidR="00661FFD" w:rsidRPr="00F8513C" w:rsidRDefault="00661FFD">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7841E9">
      <w:rPr>
        <w:rStyle w:val="PageNumber"/>
        <w:noProof/>
        <w:sz w:val="20"/>
      </w:rPr>
      <w:t>2</w:t>
    </w:r>
    <w:r w:rsidRPr="00F8513C">
      <w:rPr>
        <w:rStyle w:val="PageNumber"/>
        <w:sz w:val="20"/>
      </w:rPr>
      <w:fldChar w:fldCharType="end"/>
    </w:r>
    <w:r>
      <w:rPr>
        <w:rStyle w:val="PageNumber"/>
        <w:sz w:val="20"/>
      </w:rPr>
      <w:t xml:space="preserve"> of </w:t>
    </w:r>
    <w:r w:rsidRPr="00F8513C">
      <w:rPr>
        <w:rStyle w:val="PageNumber"/>
        <w:sz w:val="20"/>
      </w:rPr>
      <w:fldChar w:fldCharType="begin"/>
    </w:r>
    <w:r w:rsidRPr="00F8513C">
      <w:rPr>
        <w:rStyle w:val="PageNumber"/>
        <w:sz w:val="20"/>
      </w:rPr>
      <w:instrText xml:space="preserve"> NUMPAGES </w:instrText>
    </w:r>
    <w:r w:rsidRPr="00F8513C">
      <w:rPr>
        <w:rStyle w:val="PageNumber"/>
        <w:sz w:val="20"/>
      </w:rPr>
      <w:fldChar w:fldCharType="separate"/>
    </w:r>
    <w:r w:rsidR="007841E9">
      <w:rPr>
        <w:rStyle w:val="PageNumber"/>
        <w:noProof/>
        <w:sz w:val="20"/>
      </w:rPr>
      <w:t>276</w:t>
    </w:r>
    <w:r w:rsidRPr="00F8513C">
      <w:rPr>
        <w:rStyle w:val="PageNumber"/>
        <w:sz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51CD0" w:rsidRDefault="00661FFD" w:rsidP="00CA6AEB">
    <w:pPr>
      <w:pStyle w:val="Footer"/>
      <w:pBdr>
        <w:top w:val="single" w:sz="6" w:space="1" w:color="auto"/>
      </w:pBdr>
      <w:tabs>
        <w:tab w:val="clear" w:pos="4320"/>
        <w:tab w:val="clear" w:pos="8640"/>
        <w:tab w:val="right" w:pos="10080"/>
      </w:tabs>
      <w:spacing w:before="240"/>
      <w:rPr>
        <w:sz w:val="20"/>
      </w:rPr>
    </w:pPr>
    <w:r w:rsidRPr="00EB234A">
      <w:rPr>
        <w:sz w:val="20"/>
      </w:rPr>
      <w:t>TIMCO Aviation Services, Inc. dba HAECO Airframe Services</w:t>
    </w:r>
    <w:r w:rsidRPr="00751CD0">
      <w:rPr>
        <w:sz w:val="20"/>
      </w:rPr>
      <w:tab/>
    </w:r>
    <w:r>
      <w:rPr>
        <w:sz w:val="20"/>
      </w:rPr>
      <w:t>Permit</w:t>
    </w:r>
    <w:r w:rsidRPr="00751CD0">
      <w:rPr>
        <w:sz w:val="20"/>
      </w:rPr>
      <w:t xml:space="preserve"> No. </w:t>
    </w:r>
    <w:r>
      <w:rPr>
        <w:sz w:val="20"/>
      </w:rPr>
      <w:t>0230035-008</w:t>
    </w:r>
    <w:r w:rsidRPr="00751CD0">
      <w:rPr>
        <w:sz w:val="20"/>
      </w:rPr>
      <w:t>-A</w:t>
    </w:r>
    <w:r>
      <w:rPr>
        <w:sz w:val="20"/>
      </w:rPr>
      <w:t>V</w:t>
    </w:r>
  </w:p>
  <w:p w:rsidR="00661FFD" w:rsidRPr="00751CD0" w:rsidRDefault="00661FFD" w:rsidP="00CA6AEB">
    <w:pPr>
      <w:pStyle w:val="Footer"/>
      <w:tabs>
        <w:tab w:val="clear" w:pos="4320"/>
        <w:tab w:val="clear" w:pos="8640"/>
        <w:tab w:val="right" w:pos="10080"/>
      </w:tabs>
      <w:rPr>
        <w:sz w:val="20"/>
      </w:rPr>
    </w:pPr>
    <w:r w:rsidRPr="00EB234A">
      <w:rPr>
        <w:sz w:val="20"/>
      </w:rPr>
      <w:t>HAECO Airframe Service</w:t>
    </w:r>
    <w:r w:rsidRPr="003B6A30">
      <w:rPr>
        <w:sz w:val="20"/>
      </w:rPr>
      <w:tab/>
    </w:r>
    <w:r>
      <w:rPr>
        <w:sz w:val="20"/>
      </w:rPr>
      <w:t>Title V Air Operation Perm</w:t>
    </w:r>
    <w:r w:rsidRPr="00EB234A">
      <w:rPr>
        <w:sz w:val="20"/>
      </w:rPr>
      <w:t>it Renewal</w:t>
    </w:r>
  </w:p>
  <w:p w:rsidR="00661FFD" w:rsidRPr="009065A6" w:rsidRDefault="00661FFD">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841E9">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51CD0" w:rsidRDefault="00661FFD" w:rsidP="00CA6AEB">
    <w:pPr>
      <w:pStyle w:val="Footer"/>
      <w:pBdr>
        <w:top w:val="single" w:sz="6" w:space="1" w:color="auto"/>
      </w:pBdr>
      <w:tabs>
        <w:tab w:val="clear" w:pos="4320"/>
        <w:tab w:val="clear" w:pos="8640"/>
        <w:tab w:val="right" w:pos="10080"/>
      </w:tabs>
      <w:spacing w:before="240"/>
      <w:rPr>
        <w:sz w:val="20"/>
      </w:rPr>
    </w:pPr>
    <w:r w:rsidRPr="00EB234A">
      <w:rPr>
        <w:sz w:val="20"/>
      </w:rPr>
      <w:t>TIMCO Aviation Services, Inc. dba HAECO Airframe Services</w:t>
    </w:r>
    <w:r w:rsidRPr="00751CD0">
      <w:rPr>
        <w:sz w:val="20"/>
      </w:rPr>
      <w:tab/>
    </w:r>
    <w:r>
      <w:rPr>
        <w:sz w:val="20"/>
      </w:rPr>
      <w:t>Permit</w:t>
    </w:r>
    <w:r w:rsidRPr="00751CD0">
      <w:rPr>
        <w:sz w:val="20"/>
      </w:rPr>
      <w:t xml:space="preserve"> No. </w:t>
    </w:r>
    <w:r>
      <w:rPr>
        <w:sz w:val="20"/>
      </w:rPr>
      <w:t>0230035-008</w:t>
    </w:r>
    <w:r w:rsidRPr="00751CD0">
      <w:rPr>
        <w:sz w:val="20"/>
      </w:rPr>
      <w:t>-A</w:t>
    </w:r>
    <w:r>
      <w:rPr>
        <w:sz w:val="20"/>
      </w:rPr>
      <w:t>V</w:t>
    </w:r>
  </w:p>
  <w:p w:rsidR="00661FFD" w:rsidRPr="00751CD0" w:rsidRDefault="00661FFD" w:rsidP="00CA6AEB">
    <w:pPr>
      <w:pStyle w:val="Footer"/>
      <w:tabs>
        <w:tab w:val="clear" w:pos="4320"/>
        <w:tab w:val="clear" w:pos="8640"/>
        <w:tab w:val="right" w:pos="10080"/>
      </w:tabs>
      <w:rPr>
        <w:sz w:val="20"/>
      </w:rPr>
    </w:pPr>
    <w:r w:rsidRPr="00EB234A">
      <w:rPr>
        <w:sz w:val="20"/>
      </w:rPr>
      <w:t>HAECO Airframe Service</w:t>
    </w:r>
    <w:r w:rsidRPr="003B6A30">
      <w:rPr>
        <w:sz w:val="20"/>
      </w:rPr>
      <w:tab/>
    </w:r>
    <w:r>
      <w:rPr>
        <w:sz w:val="20"/>
      </w:rPr>
      <w:t>Title V Air Operation Perm</w:t>
    </w:r>
    <w:r w:rsidRPr="00EB234A">
      <w:rPr>
        <w:sz w:val="20"/>
      </w:rPr>
      <w:t>it Renewal</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091661" w:rsidRDefault="00661FFD" w:rsidP="000916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51CD0" w:rsidRDefault="00661FFD" w:rsidP="00CA6AEB">
    <w:pPr>
      <w:pStyle w:val="Footer"/>
      <w:pBdr>
        <w:top w:val="single" w:sz="6" w:space="1" w:color="auto"/>
      </w:pBdr>
      <w:tabs>
        <w:tab w:val="clear" w:pos="4320"/>
        <w:tab w:val="clear" w:pos="8640"/>
        <w:tab w:val="right" w:pos="10080"/>
      </w:tabs>
      <w:spacing w:before="240"/>
      <w:rPr>
        <w:sz w:val="20"/>
      </w:rPr>
    </w:pPr>
    <w:bookmarkStart w:id="4" w:name="_Hlk483224342"/>
    <w:r w:rsidRPr="00EB234A">
      <w:rPr>
        <w:sz w:val="20"/>
      </w:rPr>
      <w:t>TIMCO Aviation Services, Inc. dba HAECO Airframe Services</w:t>
    </w:r>
    <w:r w:rsidRPr="00751CD0">
      <w:rPr>
        <w:sz w:val="20"/>
      </w:rPr>
      <w:tab/>
    </w:r>
    <w:r>
      <w:rPr>
        <w:sz w:val="20"/>
      </w:rPr>
      <w:t>Permit</w:t>
    </w:r>
    <w:r w:rsidRPr="00751CD0">
      <w:rPr>
        <w:sz w:val="20"/>
      </w:rPr>
      <w:t xml:space="preserve"> No. </w:t>
    </w:r>
    <w:r>
      <w:rPr>
        <w:sz w:val="20"/>
      </w:rPr>
      <w:t>0230035-008</w:t>
    </w:r>
    <w:r w:rsidRPr="00751CD0">
      <w:rPr>
        <w:sz w:val="20"/>
      </w:rPr>
      <w:t>-A</w:t>
    </w:r>
    <w:r>
      <w:rPr>
        <w:sz w:val="20"/>
      </w:rPr>
      <w:t>V</w:t>
    </w:r>
  </w:p>
  <w:p w:rsidR="00661FFD" w:rsidRPr="00751CD0" w:rsidRDefault="00661FFD" w:rsidP="00CA6AEB">
    <w:pPr>
      <w:pStyle w:val="Footer"/>
      <w:tabs>
        <w:tab w:val="clear" w:pos="4320"/>
        <w:tab w:val="clear" w:pos="8640"/>
        <w:tab w:val="right" w:pos="10080"/>
      </w:tabs>
      <w:rPr>
        <w:sz w:val="20"/>
      </w:rPr>
    </w:pPr>
    <w:r w:rsidRPr="00EB234A">
      <w:rPr>
        <w:sz w:val="20"/>
      </w:rPr>
      <w:t>HAECO Airframe Service</w:t>
    </w:r>
    <w:r w:rsidRPr="003B6A30">
      <w:rPr>
        <w:sz w:val="20"/>
      </w:rPr>
      <w:tab/>
    </w:r>
    <w:r>
      <w:rPr>
        <w:sz w:val="20"/>
      </w:rPr>
      <w:t>Title V Air Operation Perm</w:t>
    </w:r>
    <w:r w:rsidRPr="00EB234A">
      <w:rPr>
        <w:sz w:val="20"/>
      </w:rPr>
      <w:t>it Renewal</w:t>
    </w:r>
  </w:p>
  <w:bookmarkEnd w:id="4"/>
  <w:p w:rsidR="00661FFD" w:rsidRDefault="00661F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51CD0" w:rsidRDefault="00661FFD" w:rsidP="00CA6AEB">
    <w:pPr>
      <w:pStyle w:val="Footer"/>
      <w:pBdr>
        <w:top w:val="single" w:sz="6" w:space="1" w:color="auto"/>
      </w:pBdr>
      <w:tabs>
        <w:tab w:val="clear" w:pos="4320"/>
        <w:tab w:val="clear" w:pos="8640"/>
        <w:tab w:val="right" w:pos="10080"/>
      </w:tabs>
      <w:spacing w:before="240"/>
      <w:rPr>
        <w:sz w:val="20"/>
      </w:rPr>
    </w:pPr>
    <w:r w:rsidRPr="00EB234A">
      <w:rPr>
        <w:sz w:val="20"/>
      </w:rPr>
      <w:t>TIMCO Aviation Services, Inc. dba HAECO Airframe Services</w:t>
    </w:r>
    <w:r w:rsidRPr="00751CD0">
      <w:rPr>
        <w:sz w:val="20"/>
      </w:rPr>
      <w:tab/>
    </w:r>
    <w:r>
      <w:rPr>
        <w:sz w:val="20"/>
      </w:rPr>
      <w:t>Permit</w:t>
    </w:r>
    <w:r w:rsidRPr="00751CD0">
      <w:rPr>
        <w:sz w:val="20"/>
      </w:rPr>
      <w:t xml:space="preserve"> No. </w:t>
    </w:r>
    <w:r>
      <w:rPr>
        <w:sz w:val="20"/>
      </w:rPr>
      <w:t>0230035-008</w:t>
    </w:r>
    <w:r w:rsidRPr="00751CD0">
      <w:rPr>
        <w:sz w:val="20"/>
      </w:rPr>
      <w:t>-A</w:t>
    </w:r>
    <w:r>
      <w:rPr>
        <w:sz w:val="20"/>
      </w:rPr>
      <w:t>V</w:t>
    </w:r>
  </w:p>
  <w:p w:rsidR="00661FFD" w:rsidRPr="00751CD0" w:rsidRDefault="00661FFD" w:rsidP="00CA6AEB">
    <w:pPr>
      <w:pStyle w:val="Footer"/>
      <w:tabs>
        <w:tab w:val="clear" w:pos="4320"/>
        <w:tab w:val="clear" w:pos="8640"/>
        <w:tab w:val="right" w:pos="10080"/>
      </w:tabs>
      <w:rPr>
        <w:sz w:val="20"/>
      </w:rPr>
    </w:pPr>
    <w:r w:rsidRPr="00EB234A">
      <w:rPr>
        <w:sz w:val="20"/>
      </w:rPr>
      <w:t>HAECO Airframe Service</w:t>
    </w:r>
    <w:r w:rsidRPr="003B6A30">
      <w:rPr>
        <w:sz w:val="20"/>
      </w:rPr>
      <w:tab/>
    </w:r>
    <w:r>
      <w:rPr>
        <w:sz w:val="20"/>
      </w:rPr>
      <w:t>Title V Air Operation Perm</w:t>
    </w:r>
    <w:r w:rsidRPr="00EB234A">
      <w:rPr>
        <w:sz w:val="20"/>
      </w:rPr>
      <w:t>it Renewal</w:t>
    </w:r>
  </w:p>
  <w:p w:rsidR="00661FFD" w:rsidRPr="009065A6" w:rsidRDefault="00661FFD">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841E9">
      <w:rPr>
        <w:rStyle w:val="PageNumber"/>
        <w:noProof/>
        <w:sz w:val="20"/>
      </w:rPr>
      <w:t>3</w:t>
    </w:r>
    <w:r w:rsidRPr="005F4DB6">
      <w:rPr>
        <w:rStyle w:val="PageNumber"/>
        <w:sz w:val="20"/>
      </w:rPr>
      <w:fldChar w:fldCharType="end"/>
    </w:r>
    <w:r w:rsidRPr="005F4DB6">
      <w:rPr>
        <w:rStyle w:val="PageNumber"/>
        <w:sz w:val="20"/>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51CD0" w:rsidRDefault="00661FFD" w:rsidP="00CA6AEB">
    <w:pPr>
      <w:pStyle w:val="Footer"/>
      <w:pBdr>
        <w:top w:val="single" w:sz="6" w:space="1" w:color="auto"/>
      </w:pBdr>
      <w:tabs>
        <w:tab w:val="clear" w:pos="4320"/>
        <w:tab w:val="clear" w:pos="8640"/>
        <w:tab w:val="right" w:pos="10080"/>
      </w:tabs>
      <w:spacing w:before="240"/>
      <w:rPr>
        <w:sz w:val="20"/>
      </w:rPr>
    </w:pPr>
    <w:r w:rsidRPr="00EB234A">
      <w:rPr>
        <w:sz w:val="20"/>
      </w:rPr>
      <w:t>TIMCO Aviation Services, Inc. dba HAECO Airframe Services</w:t>
    </w:r>
    <w:r w:rsidRPr="00751CD0">
      <w:rPr>
        <w:sz w:val="20"/>
      </w:rPr>
      <w:tab/>
    </w:r>
    <w:r>
      <w:rPr>
        <w:sz w:val="20"/>
      </w:rPr>
      <w:t>Permit</w:t>
    </w:r>
    <w:r w:rsidRPr="00751CD0">
      <w:rPr>
        <w:sz w:val="20"/>
      </w:rPr>
      <w:t xml:space="preserve"> No. </w:t>
    </w:r>
    <w:r>
      <w:rPr>
        <w:sz w:val="20"/>
      </w:rPr>
      <w:t>0230035-008</w:t>
    </w:r>
    <w:r w:rsidRPr="00751CD0">
      <w:rPr>
        <w:sz w:val="20"/>
      </w:rPr>
      <w:t>-A</w:t>
    </w:r>
    <w:r>
      <w:rPr>
        <w:sz w:val="20"/>
      </w:rPr>
      <w:t>V</w:t>
    </w:r>
  </w:p>
  <w:p w:rsidR="00661FFD" w:rsidRPr="00751CD0" w:rsidRDefault="00661FFD" w:rsidP="00CA6AEB">
    <w:pPr>
      <w:pStyle w:val="Footer"/>
      <w:tabs>
        <w:tab w:val="clear" w:pos="4320"/>
        <w:tab w:val="clear" w:pos="8640"/>
        <w:tab w:val="right" w:pos="10080"/>
      </w:tabs>
      <w:rPr>
        <w:sz w:val="20"/>
      </w:rPr>
    </w:pPr>
    <w:r w:rsidRPr="00EB234A">
      <w:rPr>
        <w:sz w:val="20"/>
      </w:rPr>
      <w:t>HAECO Airframe Service</w:t>
    </w:r>
    <w:r w:rsidRPr="003B6A30">
      <w:rPr>
        <w:sz w:val="20"/>
      </w:rPr>
      <w:tab/>
    </w:r>
    <w:r>
      <w:rPr>
        <w:sz w:val="20"/>
      </w:rPr>
      <w:t>Title V Air Operation Perm</w:t>
    </w:r>
    <w:r w:rsidRPr="00EB234A">
      <w:rPr>
        <w:sz w:val="20"/>
      </w:rPr>
      <w:t>it Renewal</w:t>
    </w:r>
  </w:p>
  <w:p w:rsidR="00661FFD" w:rsidRPr="009065A6" w:rsidRDefault="00661FFD">
    <w:pPr>
      <w:pStyle w:val="Footer"/>
      <w:tabs>
        <w:tab w:val="clear" w:pos="4320"/>
        <w:tab w:val="clear" w:pos="8640"/>
      </w:tabs>
      <w:jc w:val="center"/>
      <w:rPr>
        <w:sz w:val="20"/>
      </w:rPr>
    </w:pPr>
    <w:r w:rsidRPr="009065A6">
      <w:rPr>
        <w:sz w:val="20"/>
      </w:rPr>
      <w:t xml:space="preserve">Page </w:t>
    </w:r>
    <w:r>
      <w:rPr>
        <w:sz w:val="20"/>
      </w:rPr>
      <w:t>SUBPART A NESHAP</w:t>
    </w:r>
    <w:r w:rsidRPr="009065A6">
      <w:rPr>
        <w:sz w:val="20"/>
      </w:rPr>
      <w:t xml:space="preserv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841E9">
      <w:rPr>
        <w:rStyle w:val="PageNumber"/>
        <w:noProof/>
        <w:sz w:val="20"/>
      </w:rPr>
      <w:t>94</w:t>
    </w:r>
    <w:r w:rsidRPr="005F4DB6">
      <w:rPr>
        <w:rStyle w:val="PageNumber"/>
        <w:sz w:val="20"/>
      </w:rPr>
      <w:fldChar w:fldCharType="end"/>
    </w:r>
    <w:r w:rsidRPr="005F4DB6">
      <w:rPr>
        <w:rStyle w:val="PageNumber"/>
        <w:sz w:val="20"/>
      </w:rPr>
      <w:t xml:space="preserve"> of </w:t>
    </w:r>
    <w:r>
      <w:rPr>
        <w:rStyle w:val="PageNumber"/>
        <w:sz w:val="20"/>
      </w:rPr>
      <w:t>94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954535"/>
      <w:docPartObj>
        <w:docPartGallery w:val="Page Numbers (Bottom of Page)"/>
        <w:docPartUnique/>
      </w:docPartObj>
    </w:sdtPr>
    <w:sdtEndPr/>
    <w:sdtContent>
      <w:sdt>
        <w:sdtPr>
          <w:id w:val="1728636285"/>
          <w:docPartObj>
            <w:docPartGallery w:val="Page Numbers (Top of Page)"/>
            <w:docPartUnique/>
          </w:docPartObj>
        </w:sdtPr>
        <w:sdtEndPr/>
        <w:sdtContent>
          <w:p w:rsidR="00661FFD" w:rsidRPr="00751CD0" w:rsidRDefault="00661FFD" w:rsidP="00A62117">
            <w:pPr>
              <w:pStyle w:val="Footer"/>
              <w:pBdr>
                <w:top w:val="single" w:sz="6" w:space="1" w:color="auto"/>
              </w:pBdr>
              <w:tabs>
                <w:tab w:val="clear" w:pos="4320"/>
                <w:tab w:val="clear" w:pos="8640"/>
                <w:tab w:val="right" w:pos="10080"/>
              </w:tabs>
              <w:spacing w:before="240"/>
              <w:rPr>
                <w:sz w:val="20"/>
              </w:rPr>
            </w:pPr>
            <w:r w:rsidRPr="00EB234A">
              <w:rPr>
                <w:sz w:val="20"/>
              </w:rPr>
              <w:t>TIMCO Aviation Services, Inc. dba HAECO Airframe Services</w:t>
            </w:r>
            <w:r w:rsidRPr="00751CD0">
              <w:rPr>
                <w:sz w:val="20"/>
              </w:rPr>
              <w:tab/>
            </w:r>
            <w:r>
              <w:rPr>
                <w:sz w:val="20"/>
              </w:rPr>
              <w:t>Permit</w:t>
            </w:r>
            <w:r w:rsidRPr="00751CD0">
              <w:rPr>
                <w:sz w:val="20"/>
              </w:rPr>
              <w:t xml:space="preserve"> No. </w:t>
            </w:r>
            <w:r>
              <w:rPr>
                <w:sz w:val="20"/>
              </w:rPr>
              <w:t>0230035-008</w:t>
            </w:r>
            <w:r w:rsidRPr="00751CD0">
              <w:rPr>
                <w:sz w:val="20"/>
              </w:rPr>
              <w:t>-A</w:t>
            </w:r>
            <w:r>
              <w:rPr>
                <w:sz w:val="20"/>
              </w:rPr>
              <w:t>V</w:t>
            </w:r>
          </w:p>
          <w:p w:rsidR="00661FFD" w:rsidRPr="00751CD0" w:rsidRDefault="00661FFD" w:rsidP="00A62117">
            <w:pPr>
              <w:pStyle w:val="Footer"/>
              <w:tabs>
                <w:tab w:val="clear" w:pos="4320"/>
                <w:tab w:val="clear" w:pos="8640"/>
                <w:tab w:val="right" w:pos="10080"/>
              </w:tabs>
              <w:rPr>
                <w:sz w:val="20"/>
              </w:rPr>
            </w:pPr>
            <w:r w:rsidRPr="00EB234A">
              <w:rPr>
                <w:sz w:val="20"/>
              </w:rPr>
              <w:t>HAECO Airframe Service</w:t>
            </w:r>
            <w:r w:rsidRPr="003B6A30">
              <w:rPr>
                <w:sz w:val="20"/>
              </w:rPr>
              <w:tab/>
            </w:r>
            <w:r>
              <w:rPr>
                <w:sz w:val="20"/>
              </w:rPr>
              <w:t>Title V Air Operation Perm</w:t>
            </w:r>
            <w:r w:rsidRPr="00EB234A">
              <w:rPr>
                <w:sz w:val="20"/>
              </w:rPr>
              <w:t>it Renewal</w:t>
            </w:r>
          </w:p>
          <w:p w:rsidR="00661FFD" w:rsidRDefault="00661FFD">
            <w:pPr>
              <w:pStyle w:val="Footer"/>
              <w:jc w:val="center"/>
            </w:pPr>
            <w:r>
              <w:t xml:space="preserve">NESHAP GG </w:t>
            </w:r>
            <w:r w:rsidRPr="00A62117">
              <w:t xml:space="preserve">Page </w:t>
            </w:r>
            <w:r w:rsidRPr="00A62117">
              <w:rPr>
                <w:bCs/>
                <w:sz w:val="24"/>
                <w:szCs w:val="24"/>
              </w:rPr>
              <w:fldChar w:fldCharType="begin"/>
            </w:r>
            <w:r w:rsidRPr="00A62117">
              <w:rPr>
                <w:bCs/>
              </w:rPr>
              <w:instrText xml:space="preserve"> PAGE </w:instrText>
            </w:r>
            <w:r w:rsidRPr="00A62117">
              <w:rPr>
                <w:bCs/>
                <w:sz w:val="24"/>
                <w:szCs w:val="24"/>
              </w:rPr>
              <w:fldChar w:fldCharType="separate"/>
            </w:r>
            <w:r w:rsidR="007841E9">
              <w:rPr>
                <w:bCs/>
                <w:noProof/>
              </w:rPr>
              <w:t>8</w:t>
            </w:r>
            <w:r w:rsidRPr="00A62117">
              <w:rPr>
                <w:bCs/>
                <w:sz w:val="24"/>
                <w:szCs w:val="24"/>
              </w:rPr>
              <w:fldChar w:fldCharType="end"/>
            </w:r>
            <w:r w:rsidRPr="00A62117">
              <w:t xml:space="preserve"> of </w:t>
            </w:r>
            <w:r>
              <w:rPr>
                <w:bCs/>
                <w:sz w:val="24"/>
                <w:szCs w:val="24"/>
              </w:rPr>
              <w:t>85</w:t>
            </w:r>
          </w:p>
        </w:sdtContent>
      </w:sdt>
    </w:sdtContent>
  </w:sdt>
  <w:p w:rsidR="00661FFD" w:rsidRPr="009065A6" w:rsidRDefault="00661FFD">
    <w:pPr>
      <w:pStyle w:val="Footer"/>
      <w:tabs>
        <w:tab w:val="clear" w:pos="4320"/>
        <w:tab w:val="clear" w:pos="8640"/>
      </w:tabs>
      <w:jc w:val="center"/>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1411468"/>
      <w:docPartObj>
        <w:docPartGallery w:val="Page Numbers (Bottom of Page)"/>
        <w:docPartUnique/>
      </w:docPartObj>
    </w:sdtPr>
    <w:sdtEndPr/>
    <w:sdtContent>
      <w:sdt>
        <w:sdtPr>
          <w:id w:val="-996109997"/>
          <w:docPartObj>
            <w:docPartGallery w:val="Page Numbers (Top of Page)"/>
            <w:docPartUnique/>
          </w:docPartObj>
        </w:sdtPr>
        <w:sdtEndPr/>
        <w:sdtContent>
          <w:p w:rsidR="00661FFD" w:rsidRPr="00751CD0" w:rsidRDefault="00661FFD" w:rsidP="00A62117">
            <w:pPr>
              <w:pStyle w:val="Footer"/>
              <w:pBdr>
                <w:top w:val="single" w:sz="6" w:space="1" w:color="auto"/>
              </w:pBdr>
              <w:tabs>
                <w:tab w:val="clear" w:pos="4320"/>
                <w:tab w:val="clear" w:pos="8640"/>
                <w:tab w:val="right" w:pos="10080"/>
              </w:tabs>
              <w:spacing w:before="240"/>
              <w:rPr>
                <w:sz w:val="20"/>
              </w:rPr>
            </w:pPr>
            <w:r w:rsidRPr="00EB234A">
              <w:rPr>
                <w:sz w:val="20"/>
              </w:rPr>
              <w:t>TIMCO Aviation Services, Inc. dba HAECO Airframe Services</w:t>
            </w:r>
            <w:r w:rsidRPr="00751CD0">
              <w:rPr>
                <w:sz w:val="20"/>
              </w:rPr>
              <w:tab/>
            </w:r>
            <w:r>
              <w:rPr>
                <w:sz w:val="20"/>
              </w:rPr>
              <w:t>Permit</w:t>
            </w:r>
            <w:r w:rsidRPr="00751CD0">
              <w:rPr>
                <w:sz w:val="20"/>
              </w:rPr>
              <w:t xml:space="preserve"> No. </w:t>
            </w:r>
            <w:r>
              <w:rPr>
                <w:sz w:val="20"/>
              </w:rPr>
              <w:t>0230035-008</w:t>
            </w:r>
            <w:r w:rsidRPr="00751CD0">
              <w:rPr>
                <w:sz w:val="20"/>
              </w:rPr>
              <w:t>-A</w:t>
            </w:r>
            <w:r>
              <w:rPr>
                <w:sz w:val="20"/>
              </w:rPr>
              <w:t>V</w:t>
            </w:r>
          </w:p>
          <w:p w:rsidR="00661FFD" w:rsidRPr="00751CD0" w:rsidRDefault="00661FFD" w:rsidP="00A62117">
            <w:pPr>
              <w:pStyle w:val="Footer"/>
              <w:tabs>
                <w:tab w:val="clear" w:pos="4320"/>
                <w:tab w:val="clear" w:pos="8640"/>
                <w:tab w:val="right" w:pos="10080"/>
              </w:tabs>
              <w:rPr>
                <w:sz w:val="20"/>
              </w:rPr>
            </w:pPr>
            <w:r w:rsidRPr="00EB234A">
              <w:rPr>
                <w:sz w:val="20"/>
              </w:rPr>
              <w:t>HAECO Airframe Service</w:t>
            </w:r>
            <w:r w:rsidRPr="003B6A30">
              <w:rPr>
                <w:sz w:val="20"/>
              </w:rPr>
              <w:tab/>
            </w:r>
            <w:r>
              <w:rPr>
                <w:sz w:val="20"/>
              </w:rPr>
              <w:t>Title V Air Operation Perm</w:t>
            </w:r>
            <w:r w:rsidRPr="00EB234A">
              <w:rPr>
                <w:sz w:val="20"/>
              </w:rPr>
              <w:t>it Renewal</w:t>
            </w:r>
          </w:p>
          <w:p w:rsidR="00661FFD" w:rsidRDefault="00661FFD">
            <w:pPr>
              <w:pStyle w:val="Footer"/>
              <w:jc w:val="center"/>
            </w:pPr>
            <w:r>
              <w:t xml:space="preserve">NESHAP ZZZZ </w:t>
            </w:r>
            <w:r w:rsidRPr="00A62117">
              <w:t xml:space="preserve">Page </w:t>
            </w:r>
            <w:r w:rsidRPr="00A62117">
              <w:rPr>
                <w:bCs/>
                <w:sz w:val="24"/>
                <w:szCs w:val="24"/>
              </w:rPr>
              <w:fldChar w:fldCharType="begin"/>
            </w:r>
            <w:r w:rsidRPr="00A62117">
              <w:rPr>
                <w:bCs/>
              </w:rPr>
              <w:instrText xml:space="preserve"> PAGE </w:instrText>
            </w:r>
            <w:r w:rsidRPr="00A62117">
              <w:rPr>
                <w:bCs/>
                <w:sz w:val="24"/>
                <w:szCs w:val="24"/>
              </w:rPr>
              <w:fldChar w:fldCharType="separate"/>
            </w:r>
            <w:r w:rsidR="007841E9">
              <w:rPr>
                <w:bCs/>
                <w:noProof/>
              </w:rPr>
              <w:t>77</w:t>
            </w:r>
            <w:r w:rsidRPr="00A62117">
              <w:rPr>
                <w:bCs/>
                <w:sz w:val="24"/>
                <w:szCs w:val="24"/>
              </w:rPr>
              <w:fldChar w:fldCharType="end"/>
            </w:r>
            <w:r w:rsidRPr="00A62117">
              <w:t xml:space="preserve"> of </w:t>
            </w:r>
            <w:r>
              <w:rPr>
                <w:bCs/>
                <w:sz w:val="24"/>
                <w:szCs w:val="24"/>
              </w:rPr>
              <w:t>77</w:t>
            </w:r>
          </w:p>
        </w:sdtContent>
      </w:sdt>
    </w:sdtContent>
  </w:sdt>
  <w:p w:rsidR="00661FFD" w:rsidRPr="009065A6" w:rsidRDefault="00661FFD">
    <w:pPr>
      <w:pStyle w:val="Footer"/>
      <w:tabs>
        <w:tab w:val="clear" w:pos="4320"/>
        <w:tab w:val="clear" w:pos="8640"/>
      </w:tabs>
      <w:jc w:val="center"/>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51CD0" w:rsidRDefault="00661FFD" w:rsidP="00CA6AEB">
    <w:pPr>
      <w:pStyle w:val="Footer"/>
      <w:pBdr>
        <w:top w:val="single" w:sz="6" w:space="1" w:color="auto"/>
      </w:pBdr>
      <w:tabs>
        <w:tab w:val="clear" w:pos="4320"/>
        <w:tab w:val="clear" w:pos="8640"/>
        <w:tab w:val="right" w:pos="10080"/>
      </w:tabs>
      <w:spacing w:before="240"/>
      <w:rPr>
        <w:sz w:val="20"/>
      </w:rPr>
    </w:pPr>
    <w:r w:rsidRPr="00EB234A">
      <w:rPr>
        <w:sz w:val="20"/>
      </w:rPr>
      <w:t>TIMCO Aviation Services, Inc. dba HAECO Airframe Services</w:t>
    </w:r>
    <w:r w:rsidRPr="00751CD0">
      <w:rPr>
        <w:sz w:val="20"/>
      </w:rPr>
      <w:tab/>
    </w:r>
    <w:r>
      <w:rPr>
        <w:sz w:val="20"/>
      </w:rPr>
      <w:t>Permit</w:t>
    </w:r>
    <w:r w:rsidRPr="00751CD0">
      <w:rPr>
        <w:sz w:val="20"/>
      </w:rPr>
      <w:t xml:space="preserve"> No. </w:t>
    </w:r>
    <w:r>
      <w:rPr>
        <w:sz w:val="20"/>
      </w:rPr>
      <w:t>0230035-008</w:t>
    </w:r>
    <w:r w:rsidRPr="00751CD0">
      <w:rPr>
        <w:sz w:val="20"/>
      </w:rPr>
      <w:t>-A</w:t>
    </w:r>
    <w:r>
      <w:rPr>
        <w:sz w:val="20"/>
      </w:rPr>
      <w:t>V</w:t>
    </w:r>
  </w:p>
  <w:p w:rsidR="00661FFD" w:rsidRPr="00751CD0" w:rsidRDefault="00661FFD" w:rsidP="00CA6AEB">
    <w:pPr>
      <w:pStyle w:val="Footer"/>
      <w:tabs>
        <w:tab w:val="clear" w:pos="4320"/>
        <w:tab w:val="clear" w:pos="8640"/>
        <w:tab w:val="right" w:pos="10080"/>
      </w:tabs>
      <w:rPr>
        <w:sz w:val="20"/>
      </w:rPr>
    </w:pPr>
    <w:r w:rsidRPr="00EB234A">
      <w:rPr>
        <w:sz w:val="20"/>
      </w:rPr>
      <w:t>HAECO Airframe Service</w:t>
    </w:r>
    <w:r w:rsidRPr="003B6A30">
      <w:rPr>
        <w:sz w:val="20"/>
      </w:rPr>
      <w:tab/>
    </w:r>
    <w:r>
      <w:rPr>
        <w:sz w:val="20"/>
      </w:rPr>
      <w:t>Title V Air Operation Perm</w:t>
    </w:r>
    <w:r w:rsidRPr="00EB234A">
      <w:rPr>
        <w:sz w:val="20"/>
      </w:rPr>
      <w:t>it Renewal</w:t>
    </w:r>
  </w:p>
  <w:p w:rsidR="00661FFD" w:rsidRPr="009065A6" w:rsidRDefault="00661FFD"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841E9">
      <w:rPr>
        <w:noProof/>
        <w:sz w:val="20"/>
      </w:rPr>
      <w:t>4</w:t>
    </w:r>
    <w:r w:rsidRPr="009065A6">
      <w:rPr>
        <w:sz w:val="20"/>
      </w:rPr>
      <w:fldChar w:fldCharType="end"/>
    </w:r>
    <w:r>
      <w:rPr>
        <w:sz w:val="20"/>
      </w:rPr>
      <w:t xml:space="preserve"> of 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51CD0" w:rsidRDefault="00661FFD" w:rsidP="00CA6AEB">
    <w:pPr>
      <w:pStyle w:val="Footer"/>
      <w:pBdr>
        <w:top w:val="single" w:sz="6" w:space="1" w:color="auto"/>
      </w:pBdr>
      <w:tabs>
        <w:tab w:val="clear" w:pos="4320"/>
        <w:tab w:val="clear" w:pos="8640"/>
        <w:tab w:val="right" w:pos="10080"/>
      </w:tabs>
      <w:spacing w:before="240"/>
      <w:rPr>
        <w:sz w:val="20"/>
      </w:rPr>
    </w:pPr>
    <w:r w:rsidRPr="00EB234A">
      <w:rPr>
        <w:sz w:val="20"/>
      </w:rPr>
      <w:t>TIMCO Aviation Services, Inc. dba HAECO Airframe Services</w:t>
    </w:r>
    <w:r w:rsidRPr="00751CD0">
      <w:rPr>
        <w:sz w:val="20"/>
      </w:rPr>
      <w:tab/>
    </w:r>
    <w:r>
      <w:rPr>
        <w:sz w:val="20"/>
      </w:rPr>
      <w:t>Permit</w:t>
    </w:r>
    <w:r w:rsidRPr="00751CD0">
      <w:rPr>
        <w:sz w:val="20"/>
      </w:rPr>
      <w:t xml:space="preserve"> No. </w:t>
    </w:r>
    <w:r>
      <w:rPr>
        <w:sz w:val="20"/>
      </w:rPr>
      <w:t>0230035-008</w:t>
    </w:r>
    <w:r w:rsidRPr="00751CD0">
      <w:rPr>
        <w:sz w:val="20"/>
      </w:rPr>
      <w:t>-A</w:t>
    </w:r>
    <w:r>
      <w:rPr>
        <w:sz w:val="20"/>
      </w:rPr>
      <w:t>V</w:t>
    </w:r>
  </w:p>
  <w:p w:rsidR="00661FFD" w:rsidRPr="00751CD0" w:rsidRDefault="00661FFD" w:rsidP="00CA6AEB">
    <w:pPr>
      <w:pStyle w:val="Footer"/>
      <w:tabs>
        <w:tab w:val="clear" w:pos="4320"/>
        <w:tab w:val="clear" w:pos="8640"/>
        <w:tab w:val="right" w:pos="10080"/>
      </w:tabs>
      <w:rPr>
        <w:sz w:val="20"/>
      </w:rPr>
    </w:pPr>
    <w:r w:rsidRPr="00EB234A">
      <w:rPr>
        <w:sz w:val="20"/>
      </w:rPr>
      <w:t>HAECO Airframe Service</w:t>
    </w:r>
    <w:r w:rsidRPr="003B6A30">
      <w:rPr>
        <w:sz w:val="20"/>
      </w:rPr>
      <w:tab/>
    </w:r>
    <w:r>
      <w:rPr>
        <w:sz w:val="20"/>
      </w:rPr>
      <w:t>Title V Air Operation Perm</w:t>
    </w:r>
    <w:r w:rsidRPr="00EB234A">
      <w:rPr>
        <w:sz w:val="20"/>
      </w:rPr>
      <w:t>it Renewal</w:t>
    </w:r>
  </w:p>
  <w:p w:rsidR="00661FFD" w:rsidRPr="009065A6" w:rsidRDefault="00661FFD"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841E9">
      <w:rPr>
        <w:noProof/>
        <w:sz w:val="20"/>
      </w:rPr>
      <w:t>6</w:t>
    </w:r>
    <w:r w:rsidRPr="009065A6">
      <w:rPr>
        <w:sz w:val="20"/>
      </w:rPr>
      <w:fldChar w:fldCharType="end"/>
    </w:r>
    <w:r>
      <w:rPr>
        <w:sz w:val="20"/>
      </w:rPr>
      <w:t xml:space="preserve"> of 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51CD0" w:rsidRDefault="00661FFD" w:rsidP="00CA6AEB">
    <w:pPr>
      <w:pStyle w:val="Footer"/>
      <w:pBdr>
        <w:top w:val="single" w:sz="6" w:space="1" w:color="auto"/>
      </w:pBdr>
      <w:tabs>
        <w:tab w:val="clear" w:pos="4320"/>
        <w:tab w:val="clear" w:pos="8640"/>
        <w:tab w:val="right" w:pos="10080"/>
      </w:tabs>
      <w:spacing w:before="240"/>
      <w:rPr>
        <w:sz w:val="20"/>
      </w:rPr>
    </w:pPr>
    <w:r w:rsidRPr="00EB234A">
      <w:rPr>
        <w:sz w:val="20"/>
      </w:rPr>
      <w:t>TIMCO Aviation Services, Inc. dba HAECO Airframe Services</w:t>
    </w:r>
    <w:r w:rsidRPr="00751CD0">
      <w:rPr>
        <w:sz w:val="20"/>
      </w:rPr>
      <w:tab/>
    </w:r>
    <w:r>
      <w:rPr>
        <w:sz w:val="20"/>
      </w:rPr>
      <w:t>Permit</w:t>
    </w:r>
    <w:r w:rsidRPr="00751CD0">
      <w:rPr>
        <w:sz w:val="20"/>
      </w:rPr>
      <w:t xml:space="preserve"> No. </w:t>
    </w:r>
    <w:r>
      <w:rPr>
        <w:sz w:val="20"/>
      </w:rPr>
      <w:t>0230035-008</w:t>
    </w:r>
    <w:r w:rsidRPr="00751CD0">
      <w:rPr>
        <w:sz w:val="20"/>
      </w:rPr>
      <w:t>-A</w:t>
    </w:r>
    <w:r>
      <w:rPr>
        <w:sz w:val="20"/>
      </w:rPr>
      <w:t>V</w:t>
    </w:r>
  </w:p>
  <w:p w:rsidR="00661FFD" w:rsidRPr="00751CD0" w:rsidRDefault="00661FFD" w:rsidP="00CA6AEB">
    <w:pPr>
      <w:pStyle w:val="Footer"/>
      <w:tabs>
        <w:tab w:val="clear" w:pos="4320"/>
        <w:tab w:val="clear" w:pos="8640"/>
        <w:tab w:val="right" w:pos="10080"/>
      </w:tabs>
      <w:rPr>
        <w:sz w:val="20"/>
      </w:rPr>
    </w:pPr>
    <w:r w:rsidRPr="00EB234A">
      <w:rPr>
        <w:sz w:val="20"/>
      </w:rPr>
      <w:t>HAECO Airframe Service</w:t>
    </w:r>
    <w:r w:rsidRPr="003B6A30">
      <w:rPr>
        <w:sz w:val="20"/>
      </w:rPr>
      <w:tab/>
    </w:r>
    <w:r>
      <w:rPr>
        <w:sz w:val="20"/>
      </w:rPr>
      <w:t>Title V Air Operation Perm</w:t>
    </w:r>
    <w:r w:rsidRPr="00EB234A">
      <w:rPr>
        <w:sz w:val="20"/>
      </w:rPr>
      <w:t>it Renewal</w:t>
    </w:r>
  </w:p>
  <w:p w:rsidR="00661FFD" w:rsidRPr="009065A6" w:rsidRDefault="00661FFD">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841E9">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FFD" w:rsidRDefault="00661FFD">
      <w:r>
        <w:separator/>
      </w:r>
    </w:p>
  </w:footnote>
  <w:footnote w:type="continuationSeparator" w:id="0">
    <w:p w:rsidR="00661FFD" w:rsidRDefault="00661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84C5C" w:rsidRDefault="00661FFD">
    <w:pPr>
      <w:pStyle w:val="Header"/>
      <w:pBdr>
        <w:bottom w:val="single" w:sz="4" w:space="1" w:color="auto"/>
      </w:pBdr>
      <w:tabs>
        <w:tab w:val="clear" w:pos="8640"/>
      </w:tabs>
      <w:jc w:val="center"/>
      <w:rPr>
        <w:b/>
        <w:caps/>
        <w:sz w:val="20"/>
      </w:rPr>
    </w:pPr>
    <w:r>
      <w:rPr>
        <w:b/>
        <w:caps/>
        <w:sz w:val="20"/>
      </w:rPr>
      <w:t>APPENDIX a</w:t>
    </w:r>
  </w:p>
  <w:p w:rsidR="00661FFD" w:rsidRDefault="00661FFD"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84C5C" w:rsidRDefault="00661FFD">
    <w:pPr>
      <w:pStyle w:val="Header"/>
      <w:pBdr>
        <w:bottom w:val="single" w:sz="4" w:space="1" w:color="auto"/>
      </w:pBdr>
      <w:tabs>
        <w:tab w:val="clear" w:pos="8640"/>
      </w:tabs>
      <w:jc w:val="center"/>
      <w:rPr>
        <w:b/>
        <w:caps/>
        <w:sz w:val="20"/>
      </w:rPr>
    </w:pPr>
    <w:r>
      <w:rPr>
        <w:b/>
        <w:caps/>
        <w:sz w:val="20"/>
      </w:rPr>
      <w:t>ATTACHMENTS</w:t>
    </w:r>
  </w:p>
  <w:p w:rsidR="00661FFD" w:rsidRPr="002C56F4" w:rsidRDefault="00661FFD"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661FFD" w:rsidRPr="00E00BFE" w:rsidRDefault="00661FFD"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091661" w:rsidRDefault="00661FFD" w:rsidP="000916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84C5C" w:rsidRDefault="00661FFD">
    <w:pPr>
      <w:pStyle w:val="Header"/>
      <w:pBdr>
        <w:bottom w:val="single" w:sz="4" w:space="1" w:color="auto"/>
      </w:pBdr>
      <w:tabs>
        <w:tab w:val="clear" w:pos="8640"/>
      </w:tabs>
      <w:jc w:val="center"/>
      <w:rPr>
        <w:b/>
        <w:caps/>
        <w:sz w:val="20"/>
      </w:rPr>
    </w:pPr>
    <w:r>
      <w:rPr>
        <w:b/>
        <w:caps/>
        <w:sz w:val="20"/>
      </w:rPr>
      <w:t>APPENDIX a</w:t>
    </w:r>
  </w:p>
  <w:p w:rsidR="00661FFD" w:rsidRDefault="00661FFD"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BD6F2F" w:rsidRDefault="00661FFD">
    <w:pPr>
      <w:pStyle w:val="Header"/>
      <w:pBdr>
        <w:bottom w:val="single" w:sz="4" w:space="1" w:color="auto"/>
      </w:pBdr>
      <w:tabs>
        <w:tab w:val="clear" w:pos="8640"/>
      </w:tabs>
      <w:jc w:val="center"/>
      <w:rPr>
        <w:b/>
        <w:caps/>
        <w:sz w:val="20"/>
      </w:rPr>
    </w:pPr>
    <w:r w:rsidRPr="00BD6F2F">
      <w:rPr>
        <w:b/>
        <w:caps/>
        <w:sz w:val="20"/>
      </w:rPr>
      <w:t xml:space="preserve">APPENDIX </w:t>
    </w:r>
    <w:r>
      <w:rPr>
        <w:b/>
        <w:caps/>
        <w:sz w:val="20"/>
      </w:rPr>
      <w:t xml:space="preserve">SUBPART </w:t>
    </w:r>
    <w:r w:rsidRPr="00BD6F2F">
      <w:rPr>
        <w:b/>
        <w:caps/>
        <w:sz w:val="20"/>
      </w:rPr>
      <w:t>a</w:t>
    </w:r>
  </w:p>
  <w:p w:rsidR="00661FFD" w:rsidRPr="00BD6F2F" w:rsidRDefault="00661FFD" w:rsidP="00BD6F2F">
    <w:pPr>
      <w:jc w:val="center"/>
      <w:rPr>
        <w:b/>
      </w:rPr>
    </w:pPr>
    <w:r w:rsidRPr="00BD6F2F">
      <w:rPr>
        <w:b/>
      </w:rPr>
      <w:t>Appendix NESHAP, Subpart A – General Provisions.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BD6F2F" w:rsidRDefault="00661FFD">
    <w:pPr>
      <w:pStyle w:val="Header"/>
      <w:pBdr>
        <w:bottom w:val="single" w:sz="4" w:space="1" w:color="auto"/>
      </w:pBdr>
      <w:tabs>
        <w:tab w:val="clear" w:pos="8640"/>
      </w:tabs>
      <w:jc w:val="center"/>
      <w:rPr>
        <w:b/>
        <w:caps/>
        <w:sz w:val="20"/>
      </w:rPr>
    </w:pPr>
    <w:r w:rsidRPr="00BD6F2F">
      <w:rPr>
        <w:b/>
        <w:caps/>
        <w:sz w:val="20"/>
      </w:rPr>
      <w:t xml:space="preserve">APPENDIX </w:t>
    </w:r>
    <w:r>
      <w:rPr>
        <w:b/>
        <w:caps/>
        <w:sz w:val="20"/>
      </w:rPr>
      <w:t>SUBPART GG</w:t>
    </w:r>
  </w:p>
  <w:p w:rsidR="00661FFD" w:rsidRPr="00BD6F2F" w:rsidRDefault="00661FFD" w:rsidP="00BD6F2F">
    <w:pPr>
      <w:jc w:val="center"/>
      <w:rPr>
        <w:b/>
      </w:rPr>
    </w:pPr>
    <w:r w:rsidRPr="00BD6F2F">
      <w:rPr>
        <w:b/>
      </w:rPr>
      <w:t xml:space="preserve">Appendix NESHAP, Subpart </w:t>
    </w:r>
    <w:r>
      <w:rPr>
        <w:b/>
      </w:rPr>
      <w:t>GG</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BD6F2F" w:rsidRDefault="00661FFD">
    <w:pPr>
      <w:pStyle w:val="Header"/>
      <w:pBdr>
        <w:bottom w:val="single" w:sz="4" w:space="1" w:color="auto"/>
      </w:pBdr>
      <w:tabs>
        <w:tab w:val="clear" w:pos="8640"/>
      </w:tabs>
      <w:jc w:val="center"/>
      <w:rPr>
        <w:b/>
        <w:caps/>
        <w:sz w:val="20"/>
      </w:rPr>
    </w:pPr>
    <w:r w:rsidRPr="00BD6F2F">
      <w:rPr>
        <w:b/>
        <w:caps/>
        <w:sz w:val="20"/>
      </w:rPr>
      <w:t xml:space="preserve">APPENDIX </w:t>
    </w:r>
    <w:r>
      <w:rPr>
        <w:b/>
        <w:caps/>
        <w:sz w:val="20"/>
      </w:rPr>
      <w:t>SUBPART ZZZZ</w:t>
    </w:r>
  </w:p>
  <w:p w:rsidR="00661FFD" w:rsidRPr="00BD6F2F" w:rsidRDefault="00661FFD" w:rsidP="00BD6F2F">
    <w:pPr>
      <w:jc w:val="center"/>
      <w:rPr>
        <w:b/>
      </w:rPr>
    </w:pPr>
    <w:r w:rsidRPr="00BD6F2F">
      <w:rPr>
        <w:b/>
      </w:rPr>
      <w:t xml:space="preserve">Appendix NESHAP, Subpart </w:t>
    </w:r>
    <w:r>
      <w:rPr>
        <w:b/>
      </w:rPr>
      <w:t>ZZZZ</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84C5C" w:rsidRDefault="00661FFD" w:rsidP="00B52591">
    <w:pPr>
      <w:pStyle w:val="Header"/>
      <w:pBdr>
        <w:bottom w:val="single" w:sz="4" w:space="1" w:color="auto"/>
      </w:pBdr>
      <w:tabs>
        <w:tab w:val="clear" w:pos="8640"/>
      </w:tabs>
      <w:jc w:val="center"/>
      <w:rPr>
        <w:b/>
        <w:caps/>
        <w:sz w:val="20"/>
      </w:rPr>
    </w:pPr>
    <w:r>
      <w:rPr>
        <w:b/>
        <w:caps/>
        <w:sz w:val="20"/>
      </w:rPr>
      <w:t>APPENDIX RR</w:t>
    </w:r>
  </w:p>
  <w:p w:rsidR="00661FFD" w:rsidRPr="00322CB9" w:rsidRDefault="00661FFD" w:rsidP="00B52591">
    <w:pPr>
      <w:tabs>
        <w:tab w:val="left" w:pos="720"/>
      </w:tabs>
      <w:ind w:left="540" w:hanging="540"/>
      <w:jc w:val="center"/>
      <w:rPr>
        <w:b/>
        <w:caps/>
        <w:sz w:val="20"/>
      </w:rPr>
    </w:pPr>
    <w:r w:rsidRPr="00322CB9">
      <w:rPr>
        <w:b/>
        <w:caps/>
        <w:sz w:val="20"/>
      </w:rPr>
      <w:t>Facility-wide Reporting Requirements</w:t>
    </w:r>
  </w:p>
  <w:p w:rsidR="00661FFD" w:rsidRDefault="00661FFD"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rsidR="00661FFD" w:rsidRPr="00322CB9" w:rsidRDefault="00661FFD" w:rsidP="00B52591">
    <w:pPr>
      <w:tabs>
        <w:tab w:val="left" w:pos="720"/>
      </w:tabs>
      <w:ind w:left="540" w:hanging="540"/>
      <w:jc w:val="center"/>
      <w:rPr>
        <w:b/>
        <w:bCs/>
        <w:caps/>
        <w:smallCap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84C5C" w:rsidRDefault="00661FFD" w:rsidP="0065658A">
    <w:pPr>
      <w:pStyle w:val="Header"/>
      <w:pBdr>
        <w:bottom w:val="single" w:sz="4" w:space="1" w:color="auto"/>
      </w:pBdr>
      <w:tabs>
        <w:tab w:val="clear" w:pos="8640"/>
      </w:tabs>
      <w:jc w:val="center"/>
      <w:rPr>
        <w:b/>
        <w:caps/>
        <w:sz w:val="20"/>
      </w:rPr>
    </w:pPr>
    <w:r>
      <w:rPr>
        <w:b/>
        <w:caps/>
        <w:sz w:val="20"/>
      </w:rPr>
      <w:t>APPENDIX TR</w:t>
    </w:r>
  </w:p>
  <w:p w:rsidR="00661FFD" w:rsidRDefault="00661FFD"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661FFD" w:rsidRDefault="00661FFD" w:rsidP="00B52591">
    <w:pPr>
      <w:tabs>
        <w:tab w:val="left" w:pos="720"/>
      </w:tabs>
      <w:ind w:left="540" w:hanging="540"/>
      <w:jc w:val="center"/>
      <w:rPr>
        <w:sz w:val="20"/>
      </w:rPr>
    </w:pPr>
    <w:r w:rsidRPr="00AE7F8C">
      <w:rPr>
        <w:sz w:val="20"/>
      </w:rPr>
      <w:t>(Version Dated 9/12/2008)</w:t>
    </w:r>
  </w:p>
  <w:p w:rsidR="00661FFD" w:rsidRPr="00322CB9" w:rsidRDefault="00661FFD" w:rsidP="00B52591">
    <w:pPr>
      <w:tabs>
        <w:tab w:val="left" w:pos="720"/>
      </w:tabs>
      <w:ind w:left="540" w:hanging="540"/>
      <w:jc w:val="center"/>
      <w:rPr>
        <w:b/>
        <w:bCs/>
        <w:caps/>
        <w:smallCap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84C5C" w:rsidRDefault="00661FFD">
    <w:pPr>
      <w:pStyle w:val="Header"/>
      <w:pBdr>
        <w:bottom w:val="single" w:sz="4" w:space="1" w:color="auto"/>
      </w:pBdr>
      <w:tabs>
        <w:tab w:val="clear" w:pos="8640"/>
      </w:tabs>
      <w:jc w:val="center"/>
      <w:rPr>
        <w:b/>
        <w:caps/>
        <w:sz w:val="20"/>
      </w:rPr>
    </w:pPr>
    <w:r>
      <w:rPr>
        <w:b/>
        <w:caps/>
        <w:sz w:val="20"/>
      </w:rPr>
      <w:t>APPENDIX TV</w:t>
    </w:r>
  </w:p>
  <w:p w:rsidR="00661FFD" w:rsidRPr="002C56F4" w:rsidRDefault="00661FFD"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661FFD" w:rsidRDefault="00661FFD" w:rsidP="0001387B">
    <w:pPr>
      <w:tabs>
        <w:tab w:val="left" w:pos="720"/>
      </w:tabs>
      <w:ind w:left="540" w:hanging="540"/>
      <w:jc w:val="center"/>
      <w:rPr>
        <w:sz w:val="20"/>
      </w:rPr>
    </w:pPr>
    <w:r w:rsidRPr="00AE7F8C">
      <w:rPr>
        <w:sz w:val="20"/>
      </w:rPr>
      <w:t xml:space="preserve">(Version Dated </w:t>
    </w:r>
    <w:r>
      <w:rPr>
        <w:sz w:val="20"/>
      </w:rPr>
      <w:t>02/16/2012</w:t>
    </w:r>
  </w:p>
  <w:p w:rsidR="00661FFD" w:rsidRPr="007D61B8" w:rsidRDefault="00661FFD" w:rsidP="00562877">
    <w:pPr>
      <w:tabs>
        <w:tab w:val="left" w:pos="360"/>
        <w:tab w:val="left" w:pos="720"/>
        <w:tab w:val="left" w:pos="1080"/>
        <w:tab w:val="left" w:pos="1440"/>
        <w:tab w:val="left" w:pos="1800"/>
        <w:tab w:val="left" w:pos="2160"/>
      </w:tabs>
      <w:spacing w:line="-240" w:lineRule="auto"/>
      <w:jc w:val="center"/>
      <w:rPr>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FFD" w:rsidRPr="00784C5C" w:rsidRDefault="00661FFD">
    <w:pPr>
      <w:pStyle w:val="Header"/>
      <w:pBdr>
        <w:bottom w:val="single" w:sz="4" w:space="1" w:color="auto"/>
      </w:pBdr>
      <w:tabs>
        <w:tab w:val="clear" w:pos="8640"/>
      </w:tabs>
      <w:jc w:val="center"/>
      <w:rPr>
        <w:b/>
        <w:caps/>
        <w:sz w:val="20"/>
      </w:rPr>
    </w:pPr>
    <w:r>
      <w:rPr>
        <w:b/>
        <w:caps/>
        <w:sz w:val="20"/>
      </w:rPr>
      <w:t>APPENDIX U</w:t>
    </w:r>
  </w:p>
  <w:p w:rsidR="00661FFD" w:rsidRPr="002C56F4" w:rsidRDefault="00661FFD"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rsidR="00661FFD" w:rsidRPr="00E00BFE" w:rsidRDefault="00661FFD" w:rsidP="00562877">
    <w:pPr>
      <w:tabs>
        <w:tab w:val="left" w:pos="360"/>
        <w:tab w:val="left" w:pos="720"/>
        <w:tab w:val="left" w:pos="1080"/>
        <w:tab w:val="left" w:pos="1440"/>
        <w:tab w:val="left" w:pos="1800"/>
        <w:tab w:val="left" w:pos="2160"/>
      </w:tabs>
      <w:spacing w:line="-240" w:lineRule="auto"/>
      <w:jc w:val="center"/>
      <w:rPr>
        <w:b/>
        <w:cap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17AF408"/>
    <w:lvl w:ilvl="0">
      <w:numFmt w:val="bullet"/>
      <w:lvlText w:val="*"/>
      <w:lvlJc w:val="left"/>
    </w:lvl>
  </w:abstractNum>
  <w:abstractNum w:abstractNumId="1"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5"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6"/>
  </w:num>
  <w:num w:numId="2">
    <w:abstractNumId w:val="9"/>
  </w:num>
  <w:num w:numId="3">
    <w:abstractNumId w:val="3"/>
  </w:num>
  <w:num w:numId="4">
    <w:abstractNumId w:val="5"/>
  </w:num>
  <w:num w:numId="5">
    <w:abstractNumId w:val="15"/>
  </w:num>
  <w:num w:numId="6">
    <w:abstractNumId w:val="11"/>
  </w:num>
  <w:num w:numId="7">
    <w:abstractNumId w:val="2"/>
  </w:num>
  <w:num w:numId="8">
    <w:abstractNumId w:val="12"/>
  </w:num>
  <w:num w:numId="9">
    <w:abstractNumId w:val="4"/>
  </w:num>
  <w:num w:numId="10">
    <w:abstractNumId w:val="10"/>
  </w:num>
  <w:num w:numId="11">
    <w:abstractNumId w:val="8"/>
  </w:num>
  <w:num w:numId="12">
    <w:abstractNumId w:val="6"/>
  </w:num>
  <w:num w:numId="13">
    <w:abstractNumId w:val="13"/>
  </w:num>
  <w:num w:numId="14">
    <w:abstractNumId w:val="7"/>
  </w:num>
  <w:num w:numId="15">
    <w:abstractNumId w:val="1"/>
  </w:num>
  <w:num w:numId="16">
    <w:abstractNumId w:val="14"/>
  </w:num>
  <w:num w:numId="17">
    <w:abstractNumId w:val="0"/>
    <w:lvlOverride w:ilvl="0">
      <w:lvl w:ilvl="0">
        <w:start w:val="21"/>
        <w:numFmt w:val="bullet"/>
        <w:lvlText w:val="-"/>
        <w:legacy w:legacy="1" w:legacySpace="120" w:legacyIndent="360"/>
        <w:lvlJc w:val="left"/>
        <w:pPr>
          <w:ind w:left="720" w:hanging="360"/>
        </w:p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3788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15"/>
    <w:rsid w:val="00011ADB"/>
    <w:rsid w:val="0001387B"/>
    <w:rsid w:val="0002201E"/>
    <w:rsid w:val="000318B8"/>
    <w:rsid w:val="000404B7"/>
    <w:rsid w:val="000510B2"/>
    <w:rsid w:val="00091661"/>
    <w:rsid w:val="000963D2"/>
    <w:rsid w:val="000D2331"/>
    <w:rsid w:val="000E73FA"/>
    <w:rsid w:val="000F7543"/>
    <w:rsid w:val="001227F7"/>
    <w:rsid w:val="00137794"/>
    <w:rsid w:val="001A7DBF"/>
    <w:rsid w:val="001B3C12"/>
    <w:rsid w:val="001E4368"/>
    <w:rsid w:val="002332E0"/>
    <w:rsid w:val="0025007A"/>
    <w:rsid w:val="00251DE3"/>
    <w:rsid w:val="002559D1"/>
    <w:rsid w:val="002C1291"/>
    <w:rsid w:val="002E7540"/>
    <w:rsid w:val="002F4B89"/>
    <w:rsid w:val="003202AE"/>
    <w:rsid w:val="00324D7A"/>
    <w:rsid w:val="0033790A"/>
    <w:rsid w:val="00341F4B"/>
    <w:rsid w:val="003616C1"/>
    <w:rsid w:val="00380AF2"/>
    <w:rsid w:val="003A5326"/>
    <w:rsid w:val="003D312C"/>
    <w:rsid w:val="003E3AE4"/>
    <w:rsid w:val="003F210F"/>
    <w:rsid w:val="00426865"/>
    <w:rsid w:val="00426F1D"/>
    <w:rsid w:val="004342E0"/>
    <w:rsid w:val="00475017"/>
    <w:rsid w:val="00490369"/>
    <w:rsid w:val="004B0E5C"/>
    <w:rsid w:val="004D4C57"/>
    <w:rsid w:val="004E22BF"/>
    <w:rsid w:val="004F3821"/>
    <w:rsid w:val="00562877"/>
    <w:rsid w:val="00567FDE"/>
    <w:rsid w:val="005A129A"/>
    <w:rsid w:val="005B09C0"/>
    <w:rsid w:val="005D47B4"/>
    <w:rsid w:val="005E0413"/>
    <w:rsid w:val="005E7E7B"/>
    <w:rsid w:val="005F1550"/>
    <w:rsid w:val="005F4DB6"/>
    <w:rsid w:val="0060411C"/>
    <w:rsid w:val="006167E2"/>
    <w:rsid w:val="0064617F"/>
    <w:rsid w:val="0065658A"/>
    <w:rsid w:val="00661FFD"/>
    <w:rsid w:val="00673963"/>
    <w:rsid w:val="006801EA"/>
    <w:rsid w:val="00680515"/>
    <w:rsid w:val="00697DB7"/>
    <w:rsid w:val="006A1D3D"/>
    <w:rsid w:val="006A3E35"/>
    <w:rsid w:val="006A706E"/>
    <w:rsid w:val="006C3AAD"/>
    <w:rsid w:val="006F29C9"/>
    <w:rsid w:val="00702DD5"/>
    <w:rsid w:val="007079B9"/>
    <w:rsid w:val="00724856"/>
    <w:rsid w:val="00750F0D"/>
    <w:rsid w:val="00757035"/>
    <w:rsid w:val="007643EE"/>
    <w:rsid w:val="007841E9"/>
    <w:rsid w:val="00795827"/>
    <w:rsid w:val="00797067"/>
    <w:rsid w:val="007A2CCC"/>
    <w:rsid w:val="007C0641"/>
    <w:rsid w:val="007C31C6"/>
    <w:rsid w:val="00800F2E"/>
    <w:rsid w:val="00847DA8"/>
    <w:rsid w:val="008548BF"/>
    <w:rsid w:val="00864D72"/>
    <w:rsid w:val="0088047A"/>
    <w:rsid w:val="0089414C"/>
    <w:rsid w:val="008C153A"/>
    <w:rsid w:val="008E02B7"/>
    <w:rsid w:val="008F016B"/>
    <w:rsid w:val="0091783B"/>
    <w:rsid w:val="0092134D"/>
    <w:rsid w:val="00946942"/>
    <w:rsid w:val="00946A16"/>
    <w:rsid w:val="00967EA4"/>
    <w:rsid w:val="00980694"/>
    <w:rsid w:val="00997E63"/>
    <w:rsid w:val="009D4023"/>
    <w:rsid w:val="00A03D22"/>
    <w:rsid w:val="00A26379"/>
    <w:rsid w:val="00A4555F"/>
    <w:rsid w:val="00A479CB"/>
    <w:rsid w:val="00A62117"/>
    <w:rsid w:val="00A81F58"/>
    <w:rsid w:val="00A93C91"/>
    <w:rsid w:val="00A97987"/>
    <w:rsid w:val="00AD051D"/>
    <w:rsid w:val="00AE48B1"/>
    <w:rsid w:val="00B10AF2"/>
    <w:rsid w:val="00B200C1"/>
    <w:rsid w:val="00B25439"/>
    <w:rsid w:val="00B3512C"/>
    <w:rsid w:val="00B52591"/>
    <w:rsid w:val="00B60801"/>
    <w:rsid w:val="00B7058B"/>
    <w:rsid w:val="00B75A93"/>
    <w:rsid w:val="00B81C38"/>
    <w:rsid w:val="00B8718C"/>
    <w:rsid w:val="00B97175"/>
    <w:rsid w:val="00B976CA"/>
    <w:rsid w:val="00BD6F2F"/>
    <w:rsid w:val="00BF1E15"/>
    <w:rsid w:val="00C25BD2"/>
    <w:rsid w:val="00C25FEB"/>
    <w:rsid w:val="00C35DAC"/>
    <w:rsid w:val="00C445AF"/>
    <w:rsid w:val="00C64644"/>
    <w:rsid w:val="00C82E72"/>
    <w:rsid w:val="00C8324F"/>
    <w:rsid w:val="00C8494E"/>
    <w:rsid w:val="00CA2B24"/>
    <w:rsid w:val="00CA6AEB"/>
    <w:rsid w:val="00CD7B04"/>
    <w:rsid w:val="00D02A45"/>
    <w:rsid w:val="00D12C52"/>
    <w:rsid w:val="00D46B15"/>
    <w:rsid w:val="00D81192"/>
    <w:rsid w:val="00D866BE"/>
    <w:rsid w:val="00DA69CC"/>
    <w:rsid w:val="00DB0B37"/>
    <w:rsid w:val="00DC021C"/>
    <w:rsid w:val="00DC33FD"/>
    <w:rsid w:val="00DF1445"/>
    <w:rsid w:val="00E00BFE"/>
    <w:rsid w:val="00E04695"/>
    <w:rsid w:val="00E53B4E"/>
    <w:rsid w:val="00E711CA"/>
    <w:rsid w:val="00E76914"/>
    <w:rsid w:val="00E93327"/>
    <w:rsid w:val="00EB486E"/>
    <w:rsid w:val="00EB528B"/>
    <w:rsid w:val="00ED0F49"/>
    <w:rsid w:val="00EF2C0C"/>
    <w:rsid w:val="00F1003F"/>
    <w:rsid w:val="00F11048"/>
    <w:rsid w:val="00F13ADC"/>
    <w:rsid w:val="00F51847"/>
    <w:rsid w:val="00F61F2C"/>
    <w:rsid w:val="00F97F95"/>
    <w:rsid w:val="00FB17C2"/>
    <w:rsid w:val="00FB69B7"/>
    <w:rsid w:val="00FC2A60"/>
    <w:rsid w:val="00FD7CCB"/>
    <w:rsid w:val="00FE7F4E"/>
    <w:rsid w:val="00FF2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5:docId w15:val="{E2D5BB18-03E1-44FF-A4ED-16AE706C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3F210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3F210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3F210F"/>
    <w:pPr>
      <w:spacing w:before="200" w:after="100"/>
      <w:jc w:val="center"/>
      <w:outlineLvl w:val="3"/>
    </w:pPr>
    <w:rPr>
      <w:b/>
      <w:bCs/>
      <w:sz w:val="20"/>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210F"/>
    <w:rPr>
      <w:rFonts w:ascii="Arial" w:hAnsi="Arial" w:cs="Arial"/>
      <w:b/>
      <w:bCs/>
      <w:kern w:val="32"/>
      <w:sz w:val="32"/>
      <w:szCs w:val="32"/>
    </w:rPr>
  </w:style>
  <w:style w:type="character" w:customStyle="1" w:styleId="Heading2Char">
    <w:name w:val="Heading 2 Char"/>
    <w:basedOn w:val="DefaultParagraphFont"/>
    <w:link w:val="Heading2"/>
    <w:uiPriority w:val="9"/>
    <w:rsid w:val="003F210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3F210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3F210F"/>
    <w:rPr>
      <w:b/>
      <w:bCs/>
    </w:rPr>
  </w:style>
  <w:style w:type="character" w:customStyle="1" w:styleId="Heading5Char">
    <w:name w:val="Heading 5 Char"/>
    <w:basedOn w:val="DefaultParagraphFont"/>
    <w:link w:val="Heading5"/>
    <w:uiPriority w:val="9"/>
    <w:rsid w:val="003F210F"/>
    <w:rPr>
      <w:b/>
      <w:bCs/>
      <w:i/>
      <w:iCs/>
      <w:sz w:val="26"/>
      <w:szCs w:val="26"/>
    </w:rPr>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character" w:customStyle="1" w:styleId="HeaderChar">
    <w:name w:val="Header Char"/>
    <w:basedOn w:val="DefaultParagraphFont"/>
    <w:link w:val="Header"/>
    <w:locked/>
    <w:rsid w:val="005F4DB6"/>
    <w:rPr>
      <w:sz w:val="22"/>
      <w:lang w:val="en-US" w:eastAsia="en-US" w:bidi="ar-SA"/>
    </w:rPr>
  </w:style>
  <w:style w:type="paragraph" w:styleId="Footer">
    <w:name w:val="footer"/>
    <w:basedOn w:val="Normal"/>
    <w:link w:val="FooterChar"/>
    <w:uiPriority w:val="99"/>
    <w:rsid w:val="00980694"/>
    <w:pPr>
      <w:tabs>
        <w:tab w:val="center" w:pos="4320"/>
        <w:tab w:val="right" w:pos="8640"/>
      </w:tabs>
    </w:pPr>
  </w:style>
  <w:style w:type="character" w:customStyle="1" w:styleId="FooterChar">
    <w:name w:val="Footer Char"/>
    <w:basedOn w:val="DefaultParagraphFont"/>
    <w:link w:val="Footer"/>
    <w:uiPriority w:val="99"/>
    <w:locked/>
    <w:rsid w:val="00CA6AEB"/>
    <w:rPr>
      <w:sz w:val="22"/>
    </w:rPr>
  </w:style>
  <w:style w:type="character" w:styleId="PageNumber">
    <w:name w:val="page number"/>
    <w:basedOn w:val="DefaultParagraphFont"/>
    <w:rsid w:val="00980694"/>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paragraph" w:styleId="NoSpacing">
    <w:name w:val="No Spacing"/>
    <w:link w:val="NoSpacingChar"/>
    <w:uiPriority w:val="1"/>
    <w:qFormat/>
    <w:rsid w:val="00CA6AEB"/>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CA6AEB"/>
    <w:rPr>
      <w:rFonts w:asciiTheme="minorHAnsi" w:eastAsiaTheme="minorEastAsia" w:hAnsiTheme="minorHAnsi" w:cstheme="minorBidi"/>
      <w:sz w:val="22"/>
      <w:szCs w:val="22"/>
    </w:rPr>
  </w:style>
  <w:style w:type="character" w:styleId="Mention">
    <w:name w:val="Mention"/>
    <w:basedOn w:val="DefaultParagraphFont"/>
    <w:uiPriority w:val="99"/>
    <w:semiHidden/>
    <w:unhideWhenUsed/>
    <w:rsid w:val="00BD6F2F"/>
    <w:rPr>
      <w:color w:val="2B579A"/>
      <w:shd w:val="clear" w:color="auto" w:fill="E6E6E6"/>
    </w:rPr>
  </w:style>
  <w:style w:type="character" w:styleId="FollowedHyperlink">
    <w:name w:val="FollowedHyperlink"/>
    <w:basedOn w:val="DefaultParagraphFont"/>
    <w:uiPriority w:val="99"/>
    <w:semiHidden/>
    <w:unhideWhenUsed/>
    <w:rsid w:val="00BD6F2F"/>
    <w:rPr>
      <w:color w:val="800080" w:themeColor="followedHyperlink"/>
      <w:u w:val="single"/>
    </w:rPr>
  </w:style>
  <w:style w:type="paragraph" w:customStyle="1" w:styleId="updated">
    <w:name w:val="updated"/>
    <w:basedOn w:val="Normal"/>
    <w:rsid w:val="003F210F"/>
    <w:pPr>
      <w:spacing w:before="100" w:beforeAutospacing="1" w:after="100" w:afterAutospacing="1"/>
      <w:jc w:val="center"/>
    </w:pPr>
    <w:rPr>
      <w:rFonts w:ascii="Arial" w:hAnsi="Arial" w:cs="Arial"/>
      <w:b/>
      <w:bCs/>
      <w:color w:val="FF0000"/>
      <w:sz w:val="27"/>
      <w:szCs w:val="27"/>
    </w:rPr>
  </w:style>
  <w:style w:type="paragraph" w:customStyle="1" w:styleId="fp">
    <w:name w:val="fp"/>
    <w:basedOn w:val="Normal"/>
    <w:rsid w:val="003F210F"/>
    <w:pPr>
      <w:spacing w:before="200" w:after="100" w:afterAutospacing="1"/>
    </w:pPr>
    <w:rPr>
      <w:sz w:val="24"/>
      <w:szCs w:val="24"/>
    </w:rPr>
  </w:style>
  <w:style w:type="paragraph" w:customStyle="1" w:styleId="source">
    <w:name w:val="source"/>
    <w:basedOn w:val="Normal"/>
    <w:rsid w:val="003F210F"/>
    <w:pPr>
      <w:spacing w:before="200" w:after="100" w:afterAutospacing="1"/>
      <w:ind w:firstLine="480"/>
    </w:pPr>
    <w:rPr>
      <w:sz w:val="18"/>
      <w:szCs w:val="18"/>
    </w:rPr>
  </w:style>
  <w:style w:type="paragraph" w:styleId="NormalWeb">
    <w:name w:val="Normal (Web)"/>
    <w:basedOn w:val="Normal"/>
    <w:uiPriority w:val="99"/>
    <w:semiHidden/>
    <w:unhideWhenUsed/>
    <w:rsid w:val="003F210F"/>
    <w:pPr>
      <w:spacing w:before="100" w:beforeAutospacing="1" w:after="100" w:afterAutospacing="1"/>
      <w:ind w:firstLine="480"/>
    </w:pPr>
    <w:rPr>
      <w:sz w:val="24"/>
      <w:szCs w:val="24"/>
    </w:rPr>
  </w:style>
  <w:style w:type="paragraph" w:customStyle="1" w:styleId="cita">
    <w:name w:val="cita"/>
    <w:basedOn w:val="Normal"/>
    <w:rsid w:val="003F210F"/>
    <w:pPr>
      <w:spacing w:before="200" w:after="100" w:afterAutospacing="1"/>
    </w:pPr>
    <w:rPr>
      <w:sz w:val="18"/>
      <w:szCs w:val="18"/>
    </w:rPr>
  </w:style>
  <w:style w:type="paragraph" w:customStyle="1" w:styleId="fp-1">
    <w:name w:val="fp-1"/>
    <w:basedOn w:val="Normal"/>
    <w:rsid w:val="003F210F"/>
    <w:pPr>
      <w:spacing w:before="200" w:after="100"/>
      <w:ind w:left="480" w:hanging="480"/>
    </w:pPr>
    <w:rPr>
      <w:sz w:val="24"/>
      <w:szCs w:val="24"/>
    </w:rPr>
  </w:style>
  <w:style w:type="character" w:customStyle="1" w:styleId="su1">
    <w:name w:val="su1"/>
    <w:basedOn w:val="DefaultParagraphFont"/>
    <w:rsid w:val="003F210F"/>
    <w:rPr>
      <w:smallCaps w:val="0"/>
      <w:sz w:val="17"/>
      <w:szCs w:val="17"/>
      <w:vertAlign w:val="superscript"/>
    </w:rPr>
  </w:style>
  <w:style w:type="paragraph" w:customStyle="1" w:styleId="fp-2">
    <w:name w:val="fp-2"/>
    <w:basedOn w:val="Normal"/>
    <w:rsid w:val="003F210F"/>
    <w:pPr>
      <w:spacing w:before="200" w:after="100"/>
      <w:ind w:left="960" w:hanging="960"/>
    </w:pPr>
    <w:rPr>
      <w:sz w:val="24"/>
      <w:szCs w:val="24"/>
    </w:rPr>
  </w:style>
  <w:style w:type="paragraph" w:customStyle="1" w:styleId="gpotblnote">
    <w:name w:val="gpotbl_note"/>
    <w:basedOn w:val="Normal"/>
    <w:rsid w:val="003F210F"/>
    <w:pPr>
      <w:spacing w:before="100" w:beforeAutospacing="1" w:after="100" w:afterAutospacing="1"/>
      <w:ind w:firstLine="480"/>
    </w:pPr>
    <w:rPr>
      <w:sz w:val="24"/>
      <w:szCs w:val="24"/>
    </w:rPr>
  </w:style>
  <w:style w:type="paragraph" w:customStyle="1" w:styleId="gpotbltitle">
    <w:name w:val="gpotbl_title"/>
    <w:basedOn w:val="Normal"/>
    <w:rsid w:val="00EB486E"/>
    <w:pPr>
      <w:spacing w:before="100" w:beforeAutospacing="1" w:after="100" w:afterAutospacing="1"/>
      <w:ind w:firstLine="480"/>
      <w:jc w:val="center"/>
    </w:pPr>
    <w:rPr>
      <w:b/>
      <w:bCs/>
      <w:smallCaps/>
      <w:sz w:val="24"/>
      <w:szCs w:val="24"/>
    </w:rPr>
  </w:style>
  <w:style w:type="paragraph" w:customStyle="1" w:styleId="msonormal0">
    <w:name w:val="msonormal"/>
    <w:basedOn w:val="Normal"/>
    <w:rsid w:val="00FD7CCB"/>
    <w:pPr>
      <w:spacing w:before="100" w:beforeAutospacing="1" w:after="100" w:afterAutospacing="1"/>
      <w:ind w:firstLine="480"/>
    </w:pPr>
    <w:rPr>
      <w:sz w:val="24"/>
      <w:szCs w:val="24"/>
    </w:rPr>
  </w:style>
  <w:style w:type="paragraph" w:customStyle="1" w:styleId="fullcenter">
    <w:name w:val="fullcenter"/>
    <w:basedOn w:val="Normal"/>
    <w:rsid w:val="00FD7CCB"/>
    <w:pPr>
      <w:spacing w:before="100" w:beforeAutospacing="1" w:after="100" w:afterAutospacing="1"/>
      <w:jc w:val="center"/>
    </w:pPr>
    <w:rPr>
      <w:sz w:val="24"/>
      <w:szCs w:val="24"/>
    </w:rPr>
  </w:style>
  <w:style w:type="paragraph" w:customStyle="1" w:styleId="linktoamn">
    <w:name w:val="linktoamn"/>
    <w:basedOn w:val="Normal"/>
    <w:rsid w:val="00FD7CCB"/>
    <w:pPr>
      <w:spacing w:before="100" w:beforeAutospacing="1" w:after="100" w:afterAutospacing="1"/>
      <w:jc w:val="center"/>
    </w:pPr>
    <w:rPr>
      <w:sz w:val="24"/>
      <w:szCs w:val="24"/>
    </w:rPr>
  </w:style>
  <w:style w:type="paragraph" w:customStyle="1" w:styleId="bfrpage">
    <w:name w:val="bfrpage"/>
    <w:basedOn w:val="Normal"/>
    <w:rsid w:val="00FD7CCB"/>
    <w:pPr>
      <w:spacing w:before="100" w:beforeAutospacing="1" w:after="100" w:afterAutospacing="1"/>
      <w:jc w:val="center"/>
    </w:pPr>
    <w:rPr>
      <w:sz w:val="24"/>
      <w:szCs w:val="24"/>
    </w:rPr>
  </w:style>
  <w:style w:type="paragraph" w:customStyle="1" w:styleId="breghd">
    <w:name w:val="breghd"/>
    <w:basedOn w:val="Normal"/>
    <w:rsid w:val="00FD7CCB"/>
    <w:pPr>
      <w:spacing w:before="100" w:beforeAutospacing="1" w:after="100" w:afterAutospacing="1"/>
    </w:pPr>
    <w:rPr>
      <w:sz w:val="24"/>
      <w:szCs w:val="24"/>
    </w:rPr>
  </w:style>
  <w:style w:type="paragraph" w:customStyle="1" w:styleId="effdates">
    <w:name w:val="effdates"/>
    <w:basedOn w:val="Normal"/>
    <w:rsid w:val="00FD7CCB"/>
    <w:pPr>
      <w:spacing w:before="100" w:beforeAutospacing="1" w:after="100" w:afterAutospacing="1"/>
      <w:ind w:firstLine="480"/>
    </w:pPr>
    <w:rPr>
      <w:smallCaps/>
      <w:sz w:val="24"/>
      <w:szCs w:val="24"/>
    </w:rPr>
  </w:style>
  <w:style w:type="paragraph" w:customStyle="1" w:styleId="contact">
    <w:name w:val="contact"/>
    <w:basedOn w:val="Normal"/>
    <w:rsid w:val="00FD7CCB"/>
    <w:pPr>
      <w:spacing w:before="100" w:beforeAutospacing="1" w:after="100" w:afterAutospacing="1"/>
    </w:pPr>
    <w:rPr>
      <w:sz w:val="17"/>
      <w:szCs w:val="17"/>
    </w:rPr>
  </w:style>
  <w:style w:type="paragraph" w:customStyle="1" w:styleId="top-menu">
    <w:name w:val="top-menu"/>
    <w:basedOn w:val="Normal"/>
    <w:rsid w:val="00FD7CCB"/>
    <w:pPr>
      <w:spacing w:before="100" w:beforeAutospacing="1" w:after="100" w:afterAutospacing="1"/>
      <w:ind w:firstLine="480"/>
    </w:pPr>
    <w:rPr>
      <w:sz w:val="24"/>
      <w:szCs w:val="24"/>
    </w:rPr>
  </w:style>
  <w:style w:type="paragraph" w:customStyle="1" w:styleId="top-menu-pipe">
    <w:name w:val="top-menu-pipe"/>
    <w:basedOn w:val="Normal"/>
    <w:rsid w:val="00FD7CCB"/>
    <w:pPr>
      <w:ind w:firstLine="480"/>
    </w:pPr>
    <w:rPr>
      <w:sz w:val="24"/>
      <w:szCs w:val="24"/>
    </w:rPr>
  </w:style>
  <w:style w:type="paragraph" w:customStyle="1" w:styleId="clear">
    <w:name w:val="clear"/>
    <w:basedOn w:val="Normal"/>
    <w:rsid w:val="00FD7CCB"/>
    <w:pPr>
      <w:spacing w:before="100" w:beforeAutospacing="1" w:after="100" w:afterAutospacing="1"/>
      <w:ind w:firstLine="480"/>
    </w:pPr>
    <w:rPr>
      <w:sz w:val="24"/>
      <w:szCs w:val="24"/>
    </w:rPr>
  </w:style>
  <w:style w:type="paragraph" w:customStyle="1" w:styleId="hits">
    <w:name w:val="hits"/>
    <w:basedOn w:val="Normal"/>
    <w:rsid w:val="00FD7CCB"/>
    <w:pPr>
      <w:spacing w:before="100" w:beforeAutospacing="1" w:after="100" w:afterAutospacing="1"/>
      <w:ind w:firstLine="480"/>
    </w:pPr>
    <w:rPr>
      <w:color w:val="FF0000"/>
      <w:sz w:val="24"/>
      <w:szCs w:val="24"/>
    </w:rPr>
  </w:style>
  <w:style w:type="paragraph" w:customStyle="1" w:styleId="notfound">
    <w:name w:val="notfound"/>
    <w:basedOn w:val="Normal"/>
    <w:rsid w:val="00FD7CCB"/>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FD7CCB"/>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FD7CCB"/>
    <w:pPr>
      <w:spacing w:before="100" w:beforeAutospacing="1" w:after="100" w:afterAutospacing="1"/>
      <w:ind w:firstLine="480"/>
    </w:pPr>
    <w:rPr>
      <w:color w:val="666633"/>
      <w:sz w:val="24"/>
      <w:szCs w:val="24"/>
    </w:rPr>
  </w:style>
  <w:style w:type="paragraph" w:customStyle="1" w:styleId="menu-vendors-title">
    <w:name w:val="menu-vendors-title"/>
    <w:basedOn w:val="Normal"/>
    <w:rsid w:val="00FD7CCB"/>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FD7CCB"/>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FD7CCB"/>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FD7CCB"/>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FD7CCB"/>
    <w:pPr>
      <w:spacing w:before="100" w:beforeAutospacing="1" w:after="100" w:afterAutospacing="1"/>
      <w:ind w:firstLine="480"/>
    </w:pPr>
    <w:rPr>
      <w:color w:val="990033"/>
      <w:sz w:val="24"/>
      <w:szCs w:val="24"/>
    </w:rPr>
  </w:style>
  <w:style w:type="paragraph" w:customStyle="1" w:styleId="left-menu-title">
    <w:name w:val="left-menu-title"/>
    <w:basedOn w:val="Normal"/>
    <w:rsid w:val="00FD7CCB"/>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FD7CCB"/>
    <w:pPr>
      <w:spacing w:before="100" w:beforeAutospacing="1" w:after="100" w:afterAutospacing="1"/>
      <w:ind w:left="150" w:firstLine="480"/>
    </w:pPr>
    <w:rPr>
      <w:sz w:val="24"/>
      <w:szCs w:val="24"/>
    </w:rPr>
  </w:style>
  <w:style w:type="paragraph" w:customStyle="1" w:styleId="sidebar-title-bar">
    <w:name w:val="sidebar-title-bar"/>
    <w:basedOn w:val="Normal"/>
    <w:rsid w:val="00FD7CCB"/>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FD7CCB"/>
    <w:pPr>
      <w:spacing w:before="150" w:after="100" w:afterAutospacing="1"/>
      <w:ind w:firstLine="480"/>
    </w:pPr>
    <w:rPr>
      <w:sz w:val="24"/>
      <w:szCs w:val="24"/>
    </w:rPr>
  </w:style>
  <w:style w:type="paragraph" w:customStyle="1" w:styleId="vert-spacer-450">
    <w:name w:val="vert-spacer-450"/>
    <w:basedOn w:val="Normal"/>
    <w:rsid w:val="00FD7CCB"/>
    <w:pPr>
      <w:spacing w:before="100" w:beforeAutospacing="1" w:after="100" w:afterAutospacing="1"/>
      <w:ind w:firstLine="480"/>
    </w:pPr>
    <w:rPr>
      <w:sz w:val="24"/>
      <w:szCs w:val="24"/>
    </w:rPr>
  </w:style>
  <w:style w:type="paragraph" w:customStyle="1" w:styleId="page-title">
    <w:name w:val="page-title"/>
    <w:basedOn w:val="Normal"/>
    <w:rsid w:val="00FD7CCB"/>
    <w:pPr>
      <w:ind w:firstLine="480"/>
    </w:pPr>
    <w:rPr>
      <w:caps/>
      <w:sz w:val="27"/>
      <w:szCs w:val="27"/>
    </w:rPr>
  </w:style>
  <w:style w:type="paragraph" w:customStyle="1" w:styleId="hd1">
    <w:name w:val="hd1"/>
    <w:basedOn w:val="Normal"/>
    <w:rsid w:val="00FD7CCB"/>
    <w:pPr>
      <w:spacing w:before="100" w:beforeAutospacing="1" w:after="100" w:afterAutospacing="1"/>
      <w:ind w:firstLine="480"/>
      <w:jc w:val="center"/>
    </w:pPr>
    <w:rPr>
      <w:smallCaps/>
      <w:sz w:val="24"/>
      <w:szCs w:val="24"/>
    </w:rPr>
  </w:style>
  <w:style w:type="paragraph" w:customStyle="1" w:styleId="hd2">
    <w:name w:val="hd2"/>
    <w:basedOn w:val="Normal"/>
    <w:rsid w:val="00FD7CCB"/>
    <w:pPr>
      <w:spacing w:before="100" w:beforeAutospacing="1" w:after="100" w:afterAutospacing="1"/>
      <w:ind w:firstLine="480"/>
      <w:jc w:val="center"/>
    </w:pPr>
    <w:rPr>
      <w:i/>
      <w:iCs/>
      <w:sz w:val="24"/>
      <w:szCs w:val="24"/>
    </w:rPr>
  </w:style>
  <w:style w:type="paragraph" w:customStyle="1" w:styleId="hd3">
    <w:name w:val="hd3"/>
    <w:basedOn w:val="Normal"/>
    <w:rsid w:val="00FD7CCB"/>
    <w:pPr>
      <w:spacing w:before="100" w:beforeAutospacing="1" w:after="100" w:afterAutospacing="1"/>
      <w:ind w:firstLine="480"/>
      <w:jc w:val="center"/>
    </w:pPr>
    <w:rPr>
      <w:sz w:val="24"/>
      <w:szCs w:val="24"/>
    </w:rPr>
  </w:style>
  <w:style w:type="paragraph" w:customStyle="1" w:styleId="hd4">
    <w:name w:val="hd4"/>
    <w:basedOn w:val="Normal"/>
    <w:rsid w:val="00FD7CCB"/>
    <w:pPr>
      <w:spacing w:before="100" w:beforeAutospacing="1" w:after="100" w:afterAutospacing="1"/>
      <w:ind w:firstLine="480"/>
      <w:jc w:val="center"/>
    </w:pPr>
    <w:rPr>
      <w:sz w:val="24"/>
      <w:szCs w:val="24"/>
    </w:rPr>
  </w:style>
  <w:style w:type="paragraph" w:customStyle="1" w:styleId="hd5">
    <w:name w:val="hd5"/>
    <w:basedOn w:val="Normal"/>
    <w:rsid w:val="00FD7CCB"/>
    <w:pPr>
      <w:spacing w:before="100" w:beforeAutospacing="1" w:after="100" w:afterAutospacing="1"/>
      <w:ind w:firstLine="480"/>
      <w:jc w:val="center"/>
    </w:pPr>
    <w:rPr>
      <w:b/>
      <w:bCs/>
      <w:sz w:val="23"/>
      <w:szCs w:val="23"/>
    </w:rPr>
  </w:style>
  <w:style w:type="paragraph" w:customStyle="1" w:styleId="hed1">
    <w:name w:val="hed1"/>
    <w:basedOn w:val="Normal"/>
    <w:rsid w:val="00FD7CCB"/>
    <w:pPr>
      <w:spacing w:before="100" w:beforeAutospacing="1" w:after="100" w:afterAutospacing="1"/>
      <w:ind w:firstLine="480"/>
      <w:jc w:val="center"/>
    </w:pPr>
    <w:rPr>
      <w:b/>
      <w:bCs/>
      <w:sz w:val="20"/>
    </w:rPr>
  </w:style>
  <w:style w:type="paragraph" w:customStyle="1" w:styleId="frp">
    <w:name w:val="frp"/>
    <w:basedOn w:val="Normal"/>
    <w:rsid w:val="00FD7CCB"/>
    <w:pPr>
      <w:spacing w:before="100" w:beforeAutospacing="1" w:after="100" w:afterAutospacing="1"/>
      <w:ind w:right="480"/>
      <w:jc w:val="right"/>
    </w:pPr>
    <w:rPr>
      <w:sz w:val="24"/>
      <w:szCs w:val="24"/>
    </w:rPr>
  </w:style>
  <w:style w:type="paragraph" w:customStyle="1" w:styleId="frp0">
    <w:name w:val="frp0"/>
    <w:basedOn w:val="Normal"/>
    <w:rsid w:val="00FD7CCB"/>
    <w:pPr>
      <w:spacing w:before="100" w:beforeAutospacing="1" w:after="100" w:afterAutospacing="1"/>
      <w:jc w:val="right"/>
    </w:pPr>
    <w:rPr>
      <w:sz w:val="24"/>
      <w:szCs w:val="24"/>
    </w:rPr>
  </w:style>
  <w:style w:type="paragraph" w:customStyle="1" w:styleId="p1">
    <w:name w:val="p1"/>
    <w:basedOn w:val="Normal"/>
    <w:rsid w:val="00FD7CCB"/>
    <w:pPr>
      <w:spacing w:before="100" w:beforeAutospacing="1" w:after="100" w:afterAutospacing="1"/>
      <w:ind w:left="1440" w:hanging="480"/>
    </w:pPr>
    <w:rPr>
      <w:sz w:val="24"/>
      <w:szCs w:val="24"/>
    </w:rPr>
  </w:style>
  <w:style w:type="paragraph" w:customStyle="1" w:styleId="p-1">
    <w:name w:val="p-1"/>
    <w:basedOn w:val="Normal"/>
    <w:rsid w:val="00FD7CCB"/>
    <w:pPr>
      <w:spacing w:before="100" w:beforeAutospacing="1" w:after="100" w:afterAutospacing="1"/>
      <w:ind w:left="480"/>
    </w:pPr>
    <w:rPr>
      <w:sz w:val="24"/>
      <w:szCs w:val="24"/>
    </w:rPr>
  </w:style>
  <w:style w:type="paragraph" w:customStyle="1" w:styleId="p2">
    <w:name w:val="p2"/>
    <w:basedOn w:val="Normal"/>
    <w:rsid w:val="00FD7CCB"/>
    <w:pPr>
      <w:spacing w:before="100" w:beforeAutospacing="1" w:after="100" w:afterAutospacing="1"/>
      <w:ind w:left="480" w:firstLine="480"/>
    </w:pPr>
    <w:rPr>
      <w:sz w:val="24"/>
      <w:szCs w:val="24"/>
    </w:rPr>
  </w:style>
  <w:style w:type="paragraph" w:customStyle="1" w:styleId="p-2">
    <w:name w:val="p-2"/>
    <w:basedOn w:val="Normal"/>
    <w:rsid w:val="00FD7CCB"/>
    <w:pPr>
      <w:spacing w:before="100" w:beforeAutospacing="1" w:after="100" w:afterAutospacing="1"/>
      <w:ind w:left="960"/>
    </w:pPr>
    <w:rPr>
      <w:sz w:val="24"/>
      <w:szCs w:val="24"/>
    </w:rPr>
  </w:style>
  <w:style w:type="paragraph" w:customStyle="1" w:styleId="p-3">
    <w:name w:val="p-3"/>
    <w:basedOn w:val="Normal"/>
    <w:rsid w:val="00FD7CCB"/>
    <w:pPr>
      <w:spacing w:before="100" w:beforeAutospacing="1" w:after="100" w:afterAutospacing="1"/>
      <w:ind w:left="960" w:hanging="480"/>
    </w:pPr>
    <w:rPr>
      <w:sz w:val="24"/>
      <w:szCs w:val="24"/>
    </w:rPr>
  </w:style>
  <w:style w:type="paragraph" w:customStyle="1" w:styleId="contentsp">
    <w:name w:val="contentsp"/>
    <w:basedOn w:val="Normal"/>
    <w:rsid w:val="00FD7CCB"/>
    <w:pPr>
      <w:spacing w:before="200" w:after="100" w:afterAutospacing="1"/>
    </w:pPr>
    <w:rPr>
      <w:b/>
      <w:bCs/>
      <w:sz w:val="20"/>
    </w:rPr>
  </w:style>
  <w:style w:type="paragraph" w:customStyle="1" w:styleId="contentsg">
    <w:name w:val="contentsg"/>
    <w:basedOn w:val="Normal"/>
    <w:rsid w:val="00FD7CCB"/>
    <w:pPr>
      <w:spacing w:before="200" w:after="100" w:afterAutospacing="1"/>
    </w:pPr>
    <w:rPr>
      <w:smallCaps/>
      <w:sz w:val="20"/>
    </w:rPr>
  </w:style>
  <w:style w:type="paragraph" w:customStyle="1" w:styleId="updatetitle">
    <w:name w:val="updatetitle"/>
    <w:basedOn w:val="Normal"/>
    <w:rsid w:val="00FD7CCB"/>
    <w:pPr>
      <w:spacing w:before="200" w:after="100" w:afterAutospacing="1"/>
    </w:pPr>
    <w:rPr>
      <w:sz w:val="24"/>
      <w:szCs w:val="24"/>
    </w:rPr>
  </w:style>
  <w:style w:type="paragraph" w:customStyle="1" w:styleId="updatebodytest">
    <w:name w:val="updatebodytest"/>
    <w:basedOn w:val="Normal"/>
    <w:rsid w:val="00FD7CCB"/>
    <w:pPr>
      <w:spacing w:before="100" w:beforeAutospacing="1" w:after="100" w:afterAutospacing="1"/>
    </w:pPr>
    <w:rPr>
      <w:sz w:val="24"/>
      <w:szCs w:val="24"/>
    </w:rPr>
  </w:style>
  <w:style w:type="paragraph" w:customStyle="1" w:styleId="updatebold">
    <w:name w:val="updatebold"/>
    <w:basedOn w:val="Normal"/>
    <w:rsid w:val="00FD7CCB"/>
    <w:pPr>
      <w:spacing w:before="100" w:beforeAutospacing="1" w:after="100" w:afterAutospacing="1"/>
    </w:pPr>
    <w:rPr>
      <w:b/>
      <w:bCs/>
      <w:sz w:val="24"/>
      <w:szCs w:val="24"/>
    </w:rPr>
  </w:style>
  <w:style w:type="paragraph" w:customStyle="1" w:styleId="ednote">
    <w:name w:val="ednote"/>
    <w:basedOn w:val="Normal"/>
    <w:rsid w:val="00FD7CCB"/>
    <w:pPr>
      <w:spacing w:before="200" w:after="100" w:afterAutospacing="1"/>
      <w:ind w:firstLine="480"/>
    </w:pPr>
    <w:rPr>
      <w:sz w:val="18"/>
      <w:szCs w:val="18"/>
    </w:rPr>
  </w:style>
  <w:style w:type="paragraph" w:customStyle="1" w:styleId="effdnot">
    <w:name w:val="effdnot"/>
    <w:basedOn w:val="Normal"/>
    <w:rsid w:val="00FD7CCB"/>
    <w:pPr>
      <w:spacing w:before="200" w:after="100" w:afterAutospacing="1"/>
      <w:ind w:firstLine="480"/>
    </w:pPr>
    <w:rPr>
      <w:sz w:val="18"/>
      <w:szCs w:val="18"/>
    </w:rPr>
  </w:style>
  <w:style w:type="paragraph" w:customStyle="1" w:styleId="example">
    <w:name w:val="example"/>
    <w:basedOn w:val="Normal"/>
    <w:rsid w:val="00FD7CCB"/>
    <w:pPr>
      <w:spacing w:before="200" w:after="100" w:afterAutospacing="1"/>
      <w:ind w:firstLine="480"/>
    </w:pPr>
    <w:rPr>
      <w:sz w:val="18"/>
      <w:szCs w:val="18"/>
    </w:rPr>
  </w:style>
  <w:style w:type="paragraph" w:customStyle="1" w:styleId="crossref">
    <w:name w:val="crossref"/>
    <w:basedOn w:val="Normal"/>
    <w:rsid w:val="00FD7CCB"/>
    <w:pPr>
      <w:spacing w:before="200" w:after="100" w:afterAutospacing="1"/>
      <w:ind w:firstLine="480"/>
    </w:pPr>
    <w:rPr>
      <w:sz w:val="18"/>
      <w:szCs w:val="18"/>
    </w:rPr>
  </w:style>
  <w:style w:type="paragraph" w:customStyle="1" w:styleId="note">
    <w:name w:val="note"/>
    <w:basedOn w:val="Normal"/>
    <w:rsid w:val="00FD7CCB"/>
    <w:pPr>
      <w:spacing w:before="200" w:after="100" w:afterAutospacing="1"/>
      <w:ind w:firstLine="480"/>
    </w:pPr>
    <w:rPr>
      <w:sz w:val="18"/>
      <w:szCs w:val="18"/>
    </w:rPr>
  </w:style>
  <w:style w:type="paragraph" w:customStyle="1" w:styleId="appro">
    <w:name w:val="appro"/>
    <w:basedOn w:val="Normal"/>
    <w:rsid w:val="00FD7CCB"/>
    <w:pPr>
      <w:spacing w:before="200" w:after="100" w:afterAutospacing="1"/>
    </w:pPr>
    <w:rPr>
      <w:sz w:val="18"/>
      <w:szCs w:val="18"/>
    </w:rPr>
  </w:style>
  <w:style w:type="paragraph" w:customStyle="1" w:styleId="auth">
    <w:name w:val="auth"/>
    <w:basedOn w:val="Normal"/>
    <w:rsid w:val="00FD7CCB"/>
    <w:pPr>
      <w:spacing w:before="200" w:after="100" w:afterAutospacing="1"/>
      <w:ind w:firstLine="480"/>
    </w:pPr>
    <w:rPr>
      <w:sz w:val="18"/>
      <w:szCs w:val="18"/>
    </w:rPr>
  </w:style>
  <w:style w:type="paragraph" w:customStyle="1" w:styleId="parauth">
    <w:name w:val="parauth"/>
    <w:basedOn w:val="Normal"/>
    <w:rsid w:val="00FD7CCB"/>
    <w:pPr>
      <w:spacing w:before="200" w:after="100" w:afterAutospacing="1"/>
    </w:pPr>
    <w:rPr>
      <w:sz w:val="18"/>
      <w:szCs w:val="18"/>
    </w:rPr>
  </w:style>
  <w:style w:type="paragraph" w:customStyle="1" w:styleId="secauth">
    <w:name w:val="secauth"/>
    <w:basedOn w:val="Normal"/>
    <w:rsid w:val="00FD7CCB"/>
    <w:pPr>
      <w:spacing w:before="200" w:after="100" w:afterAutospacing="1"/>
    </w:pPr>
    <w:rPr>
      <w:sz w:val="18"/>
      <w:szCs w:val="18"/>
    </w:rPr>
  </w:style>
  <w:style w:type="paragraph" w:customStyle="1" w:styleId="Title1">
    <w:name w:val="Title1"/>
    <w:basedOn w:val="Normal"/>
    <w:rsid w:val="00FD7CCB"/>
    <w:pPr>
      <w:spacing w:before="200" w:after="100" w:afterAutospacing="1"/>
    </w:pPr>
    <w:rPr>
      <w:sz w:val="24"/>
      <w:szCs w:val="24"/>
    </w:rPr>
  </w:style>
  <w:style w:type="paragraph" w:customStyle="1" w:styleId="Subtitle1">
    <w:name w:val="Subtitle1"/>
    <w:basedOn w:val="Normal"/>
    <w:rsid w:val="00FD7CCB"/>
    <w:pPr>
      <w:spacing w:before="200" w:after="100" w:afterAutospacing="1"/>
    </w:pPr>
    <w:rPr>
      <w:sz w:val="24"/>
      <w:szCs w:val="24"/>
    </w:rPr>
  </w:style>
  <w:style w:type="paragraph" w:customStyle="1" w:styleId="chapter">
    <w:name w:val="chapter"/>
    <w:basedOn w:val="Normal"/>
    <w:rsid w:val="00FD7CCB"/>
    <w:pPr>
      <w:spacing w:before="200" w:after="100" w:afterAutospacing="1"/>
    </w:pPr>
    <w:rPr>
      <w:sz w:val="24"/>
      <w:szCs w:val="24"/>
    </w:rPr>
  </w:style>
  <w:style w:type="paragraph" w:customStyle="1" w:styleId="subchapter">
    <w:name w:val="subchapter"/>
    <w:basedOn w:val="Normal"/>
    <w:rsid w:val="00FD7CCB"/>
    <w:pPr>
      <w:spacing w:before="200" w:after="100" w:afterAutospacing="1"/>
    </w:pPr>
    <w:rPr>
      <w:sz w:val="24"/>
      <w:szCs w:val="24"/>
    </w:rPr>
  </w:style>
  <w:style w:type="paragraph" w:customStyle="1" w:styleId="part">
    <w:name w:val="part"/>
    <w:basedOn w:val="Normal"/>
    <w:rsid w:val="00FD7CCB"/>
    <w:pPr>
      <w:spacing w:before="200" w:after="100" w:afterAutospacing="1"/>
    </w:pPr>
    <w:rPr>
      <w:sz w:val="24"/>
      <w:szCs w:val="24"/>
    </w:rPr>
  </w:style>
  <w:style w:type="paragraph" w:customStyle="1" w:styleId="subpart">
    <w:name w:val="subpart"/>
    <w:basedOn w:val="Normal"/>
    <w:rsid w:val="00FD7CCB"/>
    <w:pPr>
      <w:spacing w:before="200" w:after="100" w:afterAutospacing="1"/>
    </w:pPr>
    <w:rPr>
      <w:sz w:val="24"/>
      <w:szCs w:val="24"/>
    </w:rPr>
  </w:style>
  <w:style w:type="paragraph" w:customStyle="1" w:styleId="apphead">
    <w:name w:val="apphead"/>
    <w:basedOn w:val="Normal"/>
    <w:rsid w:val="00FD7CCB"/>
    <w:pPr>
      <w:spacing w:before="200" w:after="100"/>
      <w:ind w:firstLine="480"/>
      <w:jc w:val="center"/>
    </w:pPr>
    <w:rPr>
      <w:smallCaps/>
      <w:sz w:val="20"/>
    </w:rPr>
  </w:style>
  <w:style w:type="paragraph" w:customStyle="1" w:styleId="sphead">
    <w:name w:val="sphead"/>
    <w:basedOn w:val="Normal"/>
    <w:rsid w:val="00FD7CCB"/>
    <w:pPr>
      <w:spacing w:before="200" w:after="100"/>
    </w:pPr>
    <w:rPr>
      <w:b/>
      <w:bCs/>
      <w:sz w:val="27"/>
      <w:szCs w:val="27"/>
    </w:rPr>
  </w:style>
  <w:style w:type="paragraph" w:customStyle="1" w:styleId="cpsghead">
    <w:name w:val="cpsghead"/>
    <w:basedOn w:val="Normal"/>
    <w:rsid w:val="00FD7CCB"/>
    <w:pPr>
      <w:spacing w:before="100"/>
    </w:pPr>
    <w:rPr>
      <w:smallCaps/>
      <w:sz w:val="18"/>
      <w:szCs w:val="18"/>
    </w:rPr>
  </w:style>
  <w:style w:type="paragraph" w:customStyle="1" w:styleId="tsghead">
    <w:name w:val="tsghead"/>
    <w:basedOn w:val="Normal"/>
    <w:rsid w:val="00FD7CCB"/>
    <w:pPr>
      <w:spacing w:before="200" w:after="100"/>
    </w:pPr>
    <w:rPr>
      <w:b/>
      <w:bCs/>
      <w:smallCaps/>
      <w:sz w:val="27"/>
      <w:szCs w:val="27"/>
    </w:rPr>
  </w:style>
  <w:style w:type="paragraph" w:customStyle="1" w:styleId="sghead">
    <w:name w:val="sghead"/>
    <w:basedOn w:val="Normal"/>
    <w:rsid w:val="00FD7CCB"/>
    <w:pPr>
      <w:spacing w:before="200" w:after="100"/>
      <w:jc w:val="center"/>
    </w:pPr>
    <w:rPr>
      <w:smallCaps/>
      <w:sz w:val="20"/>
    </w:rPr>
  </w:style>
  <w:style w:type="paragraph" w:customStyle="1" w:styleId="stars">
    <w:name w:val="stars"/>
    <w:basedOn w:val="Normal"/>
    <w:rsid w:val="00FD7CCB"/>
    <w:pPr>
      <w:spacing w:before="100" w:beforeAutospacing="1" w:after="100" w:afterAutospacing="1"/>
      <w:ind w:firstLine="480"/>
    </w:pPr>
    <w:rPr>
      <w:sz w:val="24"/>
      <w:szCs w:val="24"/>
    </w:rPr>
  </w:style>
  <w:style w:type="paragraph" w:customStyle="1" w:styleId="tcap">
    <w:name w:val="tcap"/>
    <w:basedOn w:val="Normal"/>
    <w:rsid w:val="00FD7CCB"/>
    <w:pPr>
      <w:spacing w:before="100" w:beforeAutospacing="1" w:after="100" w:afterAutospacing="1"/>
      <w:ind w:firstLine="480"/>
      <w:jc w:val="center"/>
    </w:pPr>
    <w:rPr>
      <w:sz w:val="24"/>
      <w:szCs w:val="24"/>
    </w:rPr>
  </w:style>
  <w:style w:type="paragraph" w:customStyle="1" w:styleId="bcap">
    <w:name w:val="bcap"/>
    <w:basedOn w:val="Normal"/>
    <w:rsid w:val="00FD7CCB"/>
    <w:pPr>
      <w:spacing w:before="100" w:beforeAutospacing="1" w:after="100" w:afterAutospacing="1"/>
      <w:ind w:firstLine="480"/>
    </w:pPr>
    <w:rPr>
      <w:sz w:val="24"/>
      <w:szCs w:val="24"/>
    </w:rPr>
  </w:style>
  <w:style w:type="paragraph" w:customStyle="1" w:styleId="fp1-2">
    <w:name w:val="fp1-2"/>
    <w:basedOn w:val="Normal"/>
    <w:rsid w:val="00FD7CCB"/>
    <w:pPr>
      <w:spacing w:before="200" w:after="100"/>
      <w:ind w:left="960" w:hanging="480"/>
    </w:pPr>
    <w:rPr>
      <w:sz w:val="24"/>
      <w:szCs w:val="24"/>
    </w:rPr>
  </w:style>
  <w:style w:type="paragraph" w:customStyle="1" w:styleId="fp2-2">
    <w:name w:val="fp2-2"/>
    <w:basedOn w:val="Normal"/>
    <w:rsid w:val="00FD7CCB"/>
    <w:pPr>
      <w:spacing w:before="200" w:after="100"/>
      <w:ind w:left="960"/>
    </w:pPr>
    <w:rPr>
      <w:sz w:val="24"/>
      <w:szCs w:val="24"/>
    </w:rPr>
  </w:style>
  <w:style w:type="paragraph" w:customStyle="1" w:styleId="fp2-3">
    <w:name w:val="fp2-3"/>
    <w:basedOn w:val="Normal"/>
    <w:rsid w:val="00FD7CCB"/>
    <w:pPr>
      <w:spacing w:before="200" w:after="100"/>
      <w:ind w:left="1440" w:hanging="480"/>
    </w:pPr>
    <w:rPr>
      <w:sz w:val="24"/>
      <w:szCs w:val="24"/>
    </w:rPr>
  </w:style>
  <w:style w:type="paragraph" w:customStyle="1" w:styleId="contents">
    <w:name w:val="contents"/>
    <w:basedOn w:val="Normal"/>
    <w:rsid w:val="00FD7CCB"/>
    <w:pPr>
      <w:spacing w:before="200" w:after="100"/>
    </w:pPr>
    <w:rPr>
      <w:sz w:val="24"/>
      <w:szCs w:val="24"/>
    </w:rPr>
  </w:style>
  <w:style w:type="paragraph" w:customStyle="1" w:styleId="three-col-layout-middle">
    <w:name w:val="three-col-layout-middle"/>
    <w:basedOn w:val="Normal"/>
    <w:rsid w:val="00FD7CCB"/>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FD7CCB"/>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FD7CCB"/>
    <w:pPr>
      <w:spacing w:before="100" w:beforeAutospacing="1" w:after="100" w:afterAutospacing="1"/>
      <w:ind w:firstLine="480"/>
    </w:pPr>
    <w:rPr>
      <w:sz w:val="18"/>
      <w:szCs w:val="18"/>
    </w:rPr>
  </w:style>
  <w:style w:type="paragraph" w:customStyle="1" w:styleId="ftnt">
    <w:name w:val="ftnt"/>
    <w:basedOn w:val="Normal"/>
    <w:rsid w:val="00FD7CCB"/>
    <w:pPr>
      <w:spacing w:before="100" w:beforeAutospacing="1" w:after="100" w:afterAutospacing="1"/>
      <w:ind w:firstLine="480"/>
    </w:pPr>
    <w:rPr>
      <w:sz w:val="18"/>
      <w:szCs w:val="18"/>
    </w:rPr>
  </w:style>
  <w:style w:type="paragraph" w:customStyle="1" w:styleId="tpl">
    <w:name w:val="tpl"/>
    <w:basedOn w:val="Normal"/>
    <w:rsid w:val="00FD7CCB"/>
    <w:pPr>
      <w:spacing w:before="100" w:beforeAutospacing="1" w:after="100" w:afterAutospacing="1"/>
      <w:ind w:firstLine="480"/>
    </w:pPr>
    <w:rPr>
      <w:sz w:val="20"/>
    </w:rPr>
  </w:style>
  <w:style w:type="paragraph" w:customStyle="1" w:styleId="sechd">
    <w:name w:val="sechd"/>
    <w:basedOn w:val="Normal"/>
    <w:rsid w:val="00FD7CCB"/>
    <w:pPr>
      <w:spacing w:after="100" w:afterAutospacing="1"/>
    </w:pPr>
    <w:rPr>
      <w:sz w:val="24"/>
      <w:szCs w:val="24"/>
    </w:rPr>
  </w:style>
  <w:style w:type="paragraph" w:customStyle="1" w:styleId="centry">
    <w:name w:val="c_entry"/>
    <w:basedOn w:val="Normal"/>
    <w:rsid w:val="00FD7CCB"/>
    <w:pPr>
      <w:spacing w:after="100" w:afterAutospacing="1"/>
    </w:pPr>
    <w:rPr>
      <w:sz w:val="24"/>
      <w:szCs w:val="24"/>
    </w:rPr>
  </w:style>
  <w:style w:type="paragraph" w:customStyle="1" w:styleId="su">
    <w:name w:val="su"/>
    <w:basedOn w:val="Normal"/>
    <w:rsid w:val="00FD7CCB"/>
    <w:pPr>
      <w:spacing w:before="100" w:beforeAutospacing="1" w:after="100" w:afterAutospacing="1"/>
      <w:ind w:firstLine="480"/>
    </w:pPr>
    <w:rPr>
      <w:sz w:val="17"/>
      <w:szCs w:val="17"/>
      <w:vertAlign w:val="superscript"/>
    </w:rPr>
  </w:style>
  <w:style w:type="paragraph" w:customStyle="1" w:styleId="titlepage">
    <w:name w:val="titlepage"/>
    <w:basedOn w:val="Normal"/>
    <w:rsid w:val="00FD7CCB"/>
    <w:pPr>
      <w:spacing w:before="100" w:beforeAutospacing="1" w:after="100" w:afterAutospacing="1"/>
      <w:ind w:firstLine="480"/>
    </w:pPr>
    <w:rPr>
      <w:sz w:val="18"/>
      <w:szCs w:val="18"/>
    </w:rPr>
  </w:style>
  <w:style w:type="paragraph" w:customStyle="1" w:styleId="gpotblhang">
    <w:name w:val="gpotbl_hang"/>
    <w:basedOn w:val="Normal"/>
    <w:rsid w:val="00FD7CCB"/>
    <w:pPr>
      <w:spacing w:before="100" w:beforeAutospacing="1" w:after="100" w:afterAutospacing="1"/>
      <w:ind w:hanging="480"/>
    </w:pPr>
    <w:rPr>
      <w:sz w:val="24"/>
      <w:szCs w:val="24"/>
    </w:rPr>
  </w:style>
  <w:style w:type="paragraph" w:customStyle="1" w:styleId="gpotbltable">
    <w:name w:val="gpotbl_table"/>
    <w:basedOn w:val="Normal"/>
    <w:rsid w:val="00FD7CCB"/>
    <w:pPr>
      <w:spacing w:before="100" w:beforeAutospacing="1" w:after="100" w:afterAutospacing="1"/>
      <w:ind w:firstLine="480"/>
    </w:pPr>
    <w:rPr>
      <w:sz w:val="24"/>
      <w:szCs w:val="24"/>
    </w:rPr>
  </w:style>
  <w:style w:type="paragraph" w:customStyle="1" w:styleId="gpotbldiv">
    <w:name w:val="gpotbl_div"/>
    <w:basedOn w:val="Normal"/>
    <w:rsid w:val="00FD7CCB"/>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description">
    <w:name w:val="gpotbl_description"/>
    <w:basedOn w:val="Normal"/>
    <w:rsid w:val="00FD7CCB"/>
    <w:pPr>
      <w:spacing w:before="100" w:beforeAutospacing="1" w:after="100" w:afterAutospacing="1"/>
      <w:ind w:firstLine="480"/>
      <w:jc w:val="center"/>
    </w:pPr>
    <w:rPr>
      <w:sz w:val="24"/>
      <w:szCs w:val="24"/>
    </w:rPr>
  </w:style>
  <w:style w:type="paragraph" w:customStyle="1" w:styleId="gpotblcell">
    <w:name w:val="gpotbl_cell"/>
    <w:basedOn w:val="Normal"/>
    <w:rsid w:val="00FD7CCB"/>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FD7CCB"/>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FD7CCB"/>
    <w:rPr>
      <w:shd w:val="clear" w:color="auto" w:fill="FFFFFF"/>
    </w:rPr>
  </w:style>
  <w:style w:type="character" w:customStyle="1" w:styleId="pdash">
    <w:name w:val="pdash"/>
    <w:basedOn w:val="DefaultParagraphFont"/>
    <w:rsid w:val="00FD7CCB"/>
    <w:rPr>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109970">
      <w:bodyDiv w:val="1"/>
      <w:marLeft w:val="0"/>
      <w:marRight w:val="0"/>
      <w:marTop w:val="30"/>
      <w:marBottom w:val="750"/>
      <w:divBdr>
        <w:top w:val="none" w:sz="0" w:space="0" w:color="auto"/>
        <w:left w:val="none" w:sz="0" w:space="0" w:color="auto"/>
        <w:bottom w:val="none" w:sz="0" w:space="0" w:color="auto"/>
        <w:right w:val="none" w:sz="0" w:space="0" w:color="auto"/>
      </w:divBdr>
      <w:divsChild>
        <w:div w:id="511530663">
          <w:marLeft w:val="0"/>
          <w:marRight w:val="0"/>
          <w:marTop w:val="0"/>
          <w:marBottom w:val="0"/>
          <w:divBdr>
            <w:top w:val="none" w:sz="0" w:space="0" w:color="auto"/>
            <w:left w:val="none" w:sz="0" w:space="0" w:color="auto"/>
            <w:bottom w:val="none" w:sz="0" w:space="0" w:color="auto"/>
            <w:right w:val="none" w:sz="0" w:space="0" w:color="auto"/>
          </w:divBdr>
          <w:divsChild>
            <w:div w:id="200948345">
              <w:marLeft w:val="0"/>
              <w:marRight w:val="0"/>
              <w:marTop w:val="0"/>
              <w:marBottom w:val="0"/>
              <w:divBdr>
                <w:top w:val="single" w:sz="12" w:space="4" w:color="auto"/>
                <w:left w:val="single" w:sz="12" w:space="4" w:color="auto"/>
                <w:bottom w:val="single" w:sz="12" w:space="4" w:color="auto"/>
                <w:right w:val="single" w:sz="12" w:space="4" w:color="auto"/>
              </w:divBdr>
            </w:div>
            <w:div w:id="95097758">
              <w:marLeft w:val="0"/>
              <w:marRight w:val="0"/>
              <w:marTop w:val="0"/>
              <w:marBottom w:val="0"/>
              <w:divBdr>
                <w:top w:val="none" w:sz="0" w:space="0" w:color="auto"/>
                <w:left w:val="none" w:sz="0" w:space="0" w:color="auto"/>
                <w:bottom w:val="none" w:sz="0" w:space="0" w:color="auto"/>
                <w:right w:val="none" w:sz="0" w:space="0" w:color="auto"/>
              </w:divBdr>
            </w:div>
            <w:div w:id="195146903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142041860">
      <w:bodyDiv w:val="1"/>
      <w:marLeft w:val="0"/>
      <w:marRight w:val="0"/>
      <w:marTop w:val="30"/>
      <w:marBottom w:val="750"/>
      <w:divBdr>
        <w:top w:val="none" w:sz="0" w:space="0" w:color="auto"/>
        <w:left w:val="none" w:sz="0" w:space="0" w:color="auto"/>
        <w:bottom w:val="none" w:sz="0" w:space="0" w:color="auto"/>
        <w:right w:val="none" w:sz="0" w:space="0" w:color="auto"/>
      </w:divBdr>
      <w:divsChild>
        <w:div w:id="890070294">
          <w:marLeft w:val="0"/>
          <w:marRight w:val="0"/>
          <w:marTop w:val="0"/>
          <w:marBottom w:val="0"/>
          <w:divBdr>
            <w:top w:val="none" w:sz="0" w:space="0" w:color="auto"/>
            <w:left w:val="none" w:sz="0" w:space="0" w:color="auto"/>
            <w:bottom w:val="none" w:sz="0" w:space="0" w:color="auto"/>
            <w:right w:val="none" w:sz="0" w:space="0" w:color="auto"/>
          </w:divBdr>
          <w:divsChild>
            <w:div w:id="19749241">
              <w:marLeft w:val="0"/>
              <w:marRight w:val="0"/>
              <w:marTop w:val="0"/>
              <w:marBottom w:val="0"/>
              <w:divBdr>
                <w:top w:val="single" w:sz="12" w:space="4" w:color="auto"/>
                <w:left w:val="single" w:sz="12" w:space="4" w:color="auto"/>
                <w:bottom w:val="single" w:sz="12" w:space="4" w:color="auto"/>
                <w:right w:val="single" w:sz="12" w:space="4" w:color="auto"/>
              </w:divBdr>
            </w:div>
          </w:divsChild>
        </w:div>
      </w:divsChild>
    </w:div>
    <w:div w:id="1321421380">
      <w:bodyDiv w:val="1"/>
      <w:marLeft w:val="0"/>
      <w:marRight w:val="0"/>
      <w:marTop w:val="30"/>
      <w:marBottom w:val="750"/>
      <w:divBdr>
        <w:top w:val="none" w:sz="0" w:space="0" w:color="auto"/>
        <w:left w:val="none" w:sz="0" w:space="0" w:color="auto"/>
        <w:bottom w:val="none" w:sz="0" w:space="0" w:color="auto"/>
        <w:right w:val="none" w:sz="0" w:space="0" w:color="auto"/>
      </w:divBdr>
      <w:divsChild>
        <w:div w:id="1443839838">
          <w:marLeft w:val="0"/>
          <w:marRight w:val="0"/>
          <w:marTop w:val="0"/>
          <w:marBottom w:val="0"/>
          <w:divBdr>
            <w:top w:val="none" w:sz="0" w:space="0" w:color="auto"/>
            <w:left w:val="none" w:sz="0" w:space="0" w:color="auto"/>
            <w:bottom w:val="none" w:sz="0" w:space="0" w:color="auto"/>
            <w:right w:val="none" w:sz="0" w:space="0" w:color="auto"/>
          </w:divBdr>
          <w:divsChild>
            <w:div w:id="1610430364">
              <w:marLeft w:val="0"/>
              <w:marRight w:val="0"/>
              <w:marTop w:val="0"/>
              <w:marBottom w:val="0"/>
              <w:divBdr>
                <w:top w:val="single" w:sz="12" w:space="4" w:color="auto"/>
                <w:left w:val="single" w:sz="12" w:space="4" w:color="auto"/>
                <w:bottom w:val="single" w:sz="12" w:space="4" w:color="auto"/>
                <w:right w:val="single" w:sz="12" w:space="4" w:color="auto"/>
              </w:divBdr>
            </w:div>
            <w:div w:id="1611085738">
              <w:marLeft w:val="0"/>
              <w:marRight w:val="0"/>
              <w:marTop w:val="0"/>
              <w:marBottom w:val="0"/>
              <w:divBdr>
                <w:top w:val="single" w:sz="12" w:space="0" w:color="000000"/>
                <w:left w:val="single" w:sz="12" w:space="0" w:color="000000"/>
                <w:bottom w:val="single" w:sz="12" w:space="0" w:color="000000"/>
                <w:right w:val="single" w:sz="12" w:space="0" w:color="000000"/>
              </w:divBdr>
            </w:div>
            <w:div w:id="418334575">
              <w:marLeft w:val="0"/>
              <w:marRight w:val="0"/>
              <w:marTop w:val="0"/>
              <w:marBottom w:val="0"/>
              <w:divBdr>
                <w:top w:val="none" w:sz="0" w:space="0" w:color="auto"/>
                <w:left w:val="none" w:sz="0" w:space="0" w:color="auto"/>
                <w:bottom w:val="none" w:sz="0" w:space="0" w:color="auto"/>
                <w:right w:val="none" w:sz="0" w:space="0" w:color="auto"/>
              </w:divBdr>
            </w:div>
            <w:div w:id="282808332">
              <w:marLeft w:val="0"/>
              <w:marRight w:val="0"/>
              <w:marTop w:val="0"/>
              <w:marBottom w:val="0"/>
              <w:divBdr>
                <w:top w:val="none" w:sz="0" w:space="0" w:color="auto"/>
                <w:left w:val="none" w:sz="0" w:space="0" w:color="auto"/>
                <w:bottom w:val="none" w:sz="0" w:space="0" w:color="auto"/>
                <w:right w:val="none" w:sz="0" w:space="0" w:color="auto"/>
              </w:divBdr>
            </w:div>
            <w:div w:id="490294658">
              <w:marLeft w:val="0"/>
              <w:marRight w:val="0"/>
              <w:marTop w:val="0"/>
              <w:marBottom w:val="0"/>
              <w:divBdr>
                <w:top w:val="single" w:sz="12" w:space="0" w:color="000000"/>
                <w:left w:val="single" w:sz="12" w:space="0" w:color="000000"/>
                <w:bottom w:val="single" w:sz="12" w:space="0" w:color="000000"/>
                <w:right w:val="single" w:sz="12" w:space="0" w:color="000000"/>
              </w:divBdr>
            </w:div>
            <w:div w:id="629481097">
              <w:marLeft w:val="0"/>
              <w:marRight w:val="0"/>
              <w:marTop w:val="0"/>
              <w:marBottom w:val="0"/>
              <w:divBdr>
                <w:top w:val="none" w:sz="0" w:space="0" w:color="auto"/>
                <w:left w:val="none" w:sz="0" w:space="0" w:color="auto"/>
                <w:bottom w:val="none" w:sz="0" w:space="0" w:color="auto"/>
                <w:right w:val="none" w:sz="0" w:space="0" w:color="auto"/>
              </w:divBdr>
            </w:div>
            <w:div w:id="778182099">
              <w:marLeft w:val="0"/>
              <w:marRight w:val="0"/>
              <w:marTop w:val="0"/>
              <w:marBottom w:val="0"/>
              <w:divBdr>
                <w:top w:val="single" w:sz="12" w:space="0" w:color="000000"/>
                <w:left w:val="single" w:sz="12" w:space="0" w:color="000000"/>
                <w:bottom w:val="single" w:sz="12" w:space="0" w:color="000000"/>
                <w:right w:val="single" w:sz="12" w:space="0" w:color="000000"/>
              </w:divBdr>
            </w:div>
            <w:div w:id="1722434891">
              <w:marLeft w:val="0"/>
              <w:marRight w:val="0"/>
              <w:marTop w:val="0"/>
              <w:marBottom w:val="0"/>
              <w:divBdr>
                <w:top w:val="none" w:sz="0" w:space="0" w:color="auto"/>
                <w:left w:val="none" w:sz="0" w:space="0" w:color="auto"/>
                <w:bottom w:val="none" w:sz="0" w:space="0" w:color="auto"/>
                <w:right w:val="none" w:sz="0" w:space="0" w:color="auto"/>
              </w:divBdr>
            </w:div>
            <w:div w:id="320352989">
              <w:marLeft w:val="0"/>
              <w:marRight w:val="0"/>
              <w:marTop w:val="0"/>
              <w:marBottom w:val="0"/>
              <w:divBdr>
                <w:top w:val="single" w:sz="12" w:space="0" w:color="000000"/>
                <w:left w:val="single" w:sz="12" w:space="0" w:color="000000"/>
                <w:bottom w:val="single" w:sz="12" w:space="0" w:color="000000"/>
                <w:right w:val="single" w:sz="12" w:space="0" w:color="000000"/>
              </w:divBdr>
            </w:div>
            <w:div w:id="454256823">
              <w:marLeft w:val="0"/>
              <w:marRight w:val="0"/>
              <w:marTop w:val="0"/>
              <w:marBottom w:val="0"/>
              <w:divBdr>
                <w:top w:val="none" w:sz="0" w:space="0" w:color="auto"/>
                <w:left w:val="none" w:sz="0" w:space="0" w:color="auto"/>
                <w:bottom w:val="none" w:sz="0" w:space="0" w:color="auto"/>
                <w:right w:val="none" w:sz="0" w:space="0" w:color="auto"/>
              </w:divBdr>
            </w:div>
            <w:div w:id="1999334425">
              <w:marLeft w:val="0"/>
              <w:marRight w:val="0"/>
              <w:marTop w:val="0"/>
              <w:marBottom w:val="0"/>
              <w:divBdr>
                <w:top w:val="single" w:sz="12" w:space="0" w:color="000000"/>
                <w:left w:val="single" w:sz="12" w:space="0" w:color="000000"/>
                <w:bottom w:val="single" w:sz="12" w:space="0" w:color="000000"/>
                <w:right w:val="single" w:sz="12" w:space="0" w:color="000000"/>
              </w:divBdr>
            </w:div>
            <w:div w:id="1430857900">
              <w:marLeft w:val="0"/>
              <w:marRight w:val="0"/>
              <w:marTop w:val="0"/>
              <w:marBottom w:val="0"/>
              <w:divBdr>
                <w:top w:val="single" w:sz="12" w:space="0" w:color="000000"/>
                <w:left w:val="single" w:sz="12" w:space="0" w:color="000000"/>
                <w:bottom w:val="single" w:sz="12" w:space="0" w:color="000000"/>
                <w:right w:val="single" w:sz="12" w:space="0" w:color="000000"/>
              </w:divBdr>
            </w:div>
            <w:div w:id="802699020">
              <w:marLeft w:val="0"/>
              <w:marRight w:val="0"/>
              <w:marTop w:val="0"/>
              <w:marBottom w:val="0"/>
              <w:divBdr>
                <w:top w:val="single" w:sz="12" w:space="0" w:color="000000"/>
                <w:left w:val="single" w:sz="12" w:space="0" w:color="000000"/>
                <w:bottom w:val="single" w:sz="12" w:space="0" w:color="000000"/>
                <w:right w:val="single" w:sz="12" w:space="0" w:color="000000"/>
              </w:divBdr>
            </w:div>
            <w:div w:id="1549343898">
              <w:marLeft w:val="0"/>
              <w:marRight w:val="0"/>
              <w:marTop w:val="0"/>
              <w:marBottom w:val="0"/>
              <w:divBdr>
                <w:top w:val="none" w:sz="0" w:space="0" w:color="auto"/>
                <w:left w:val="none" w:sz="0" w:space="0" w:color="auto"/>
                <w:bottom w:val="none" w:sz="0" w:space="0" w:color="auto"/>
                <w:right w:val="none" w:sz="0" w:space="0" w:color="auto"/>
              </w:divBdr>
            </w:div>
            <w:div w:id="1160541808">
              <w:marLeft w:val="0"/>
              <w:marRight w:val="0"/>
              <w:marTop w:val="0"/>
              <w:marBottom w:val="0"/>
              <w:divBdr>
                <w:top w:val="single" w:sz="12" w:space="0" w:color="000000"/>
                <w:left w:val="single" w:sz="12" w:space="0" w:color="000000"/>
                <w:bottom w:val="single" w:sz="12" w:space="0" w:color="000000"/>
                <w:right w:val="single" w:sz="12" w:space="0" w:color="000000"/>
              </w:divBdr>
            </w:div>
            <w:div w:id="1601445835">
              <w:marLeft w:val="0"/>
              <w:marRight w:val="0"/>
              <w:marTop w:val="0"/>
              <w:marBottom w:val="0"/>
              <w:divBdr>
                <w:top w:val="single" w:sz="12" w:space="0" w:color="000000"/>
                <w:left w:val="single" w:sz="12" w:space="0" w:color="000000"/>
                <w:bottom w:val="single" w:sz="12" w:space="0" w:color="000000"/>
                <w:right w:val="single" w:sz="12" w:space="0" w:color="000000"/>
              </w:divBdr>
            </w:div>
            <w:div w:id="1386107267">
              <w:marLeft w:val="0"/>
              <w:marRight w:val="0"/>
              <w:marTop w:val="0"/>
              <w:marBottom w:val="0"/>
              <w:divBdr>
                <w:top w:val="none" w:sz="0" w:space="0" w:color="auto"/>
                <w:left w:val="none" w:sz="0" w:space="0" w:color="auto"/>
                <w:bottom w:val="none" w:sz="0" w:space="0" w:color="auto"/>
                <w:right w:val="none" w:sz="0" w:space="0" w:color="auto"/>
              </w:divBdr>
            </w:div>
            <w:div w:id="63720602">
              <w:marLeft w:val="0"/>
              <w:marRight w:val="0"/>
              <w:marTop w:val="0"/>
              <w:marBottom w:val="0"/>
              <w:divBdr>
                <w:top w:val="single" w:sz="12" w:space="0" w:color="000000"/>
                <w:left w:val="single" w:sz="12" w:space="0" w:color="000000"/>
                <w:bottom w:val="single" w:sz="12" w:space="0" w:color="000000"/>
                <w:right w:val="single" w:sz="12" w:space="0" w:color="000000"/>
              </w:divBdr>
            </w:div>
            <w:div w:id="1878003928">
              <w:marLeft w:val="0"/>
              <w:marRight w:val="0"/>
              <w:marTop w:val="0"/>
              <w:marBottom w:val="0"/>
              <w:divBdr>
                <w:top w:val="none" w:sz="0" w:space="0" w:color="auto"/>
                <w:left w:val="none" w:sz="0" w:space="0" w:color="auto"/>
                <w:bottom w:val="none" w:sz="0" w:space="0" w:color="auto"/>
                <w:right w:val="none" w:sz="0" w:space="0" w:color="auto"/>
              </w:divBdr>
            </w:div>
            <w:div w:id="286816207">
              <w:marLeft w:val="0"/>
              <w:marRight w:val="0"/>
              <w:marTop w:val="0"/>
              <w:marBottom w:val="0"/>
              <w:divBdr>
                <w:top w:val="single" w:sz="12" w:space="0" w:color="000000"/>
                <w:left w:val="single" w:sz="12" w:space="0" w:color="000000"/>
                <w:bottom w:val="single" w:sz="12" w:space="0" w:color="000000"/>
                <w:right w:val="single" w:sz="12" w:space="0" w:color="000000"/>
              </w:divBdr>
            </w:div>
            <w:div w:id="1580867734">
              <w:marLeft w:val="0"/>
              <w:marRight w:val="0"/>
              <w:marTop w:val="0"/>
              <w:marBottom w:val="0"/>
              <w:divBdr>
                <w:top w:val="none" w:sz="0" w:space="0" w:color="auto"/>
                <w:left w:val="none" w:sz="0" w:space="0" w:color="auto"/>
                <w:bottom w:val="none" w:sz="0" w:space="0" w:color="auto"/>
                <w:right w:val="none" w:sz="0" w:space="0" w:color="auto"/>
              </w:divBdr>
            </w:div>
            <w:div w:id="2053963928">
              <w:marLeft w:val="0"/>
              <w:marRight w:val="0"/>
              <w:marTop w:val="0"/>
              <w:marBottom w:val="0"/>
              <w:divBdr>
                <w:top w:val="single" w:sz="12" w:space="0" w:color="000000"/>
                <w:left w:val="single" w:sz="12" w:space="0" w:color="000000"/>
                <w:bottom w:val="single" w:sz="12" w:space="0" w:color="000000"/>
                <w:right w:val="single" w:sz="12" w:space="0" w:color="000000"/>
              </w:divBdr>
            </w:div>
            <w:div w:id="388529832">
              <w:marLeft w:val="0"/>
              <w:marRight w:val="0"/>
              <w:marTop w:val="0"/>
              <w:marBottom w:val="0"/>
              <w:divBdr>
                <w:top w:val="none" w:sz="0" w:space="0" w:color="auto"/>
                <w:left w:val="none" w:sz="0" w:space="0" w:color="auto"/>
                <w:bottom w:val="none" w:sz="0" w:space="0" w:color="auto"/>
                <w:right w:val="none" w:sz="0" w:space="0" w:color="auto"/>
              </w:divBdr>
            </w:div>
            <w:div w:id="1876233471">
              <w:marLeft w:val="0"/>
              <w:marRight w:val="0"/>
              <w:marTop w:val="0"/>
              <w:marBottom w:val="0"/>
              <w:divBdr>
                <w:top w:val="single" w:sz="12" w:space="0" w:color="000000"/>
                <w:left w:val="single" w:sz="12" w:space="0" w:color="000000"/>
                <w:bottom w:val="single" w:sz="12" w:space="0" w:color="000000"/>
                <w:right w:val="single" w:sz="12" w:space="0" w:color="000000"/>
              </w:divBdr>
            </w:div>
            <w:div w:id="21100772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ecfr.gov/cgi-bin/text-idx?SID=f6eaeeb43ab35c0f479c437ba0dfcc25&amp;mc=true&amp;node=sp40.11.63.a&amp;rgn=div6#_top" TargetMode="External"/><Relationship Id="rId18" Type="http://schemas.openxmlformats.org/officeDocument/2006/relationships/header" Target="header3.xml"/><Relationship Id="rId26" Type="http://schemas.openxmlformats.org/officeDocument/2006/relationships/image" Target="media/image11.gif"/><Relationship Id="rId39" Type="http://schemas.openxmlformats.org/officeDocument/2006/relationships/image" Target="media/image24.gif"/><Relationship Id="rId21" Type="http://schemas.openxmlformats.org/officeDocument/2006/relationships/image" Target="media/image6.gif"/><Relationship Id="rId34" Type="http://schemas.openxmlformats.org/officeDocument/2006/relationships/image" Target="media/image19.gif"/><Relationship Id="rId42" Type="http://schemas.openxmlformats.org/officeDocument/2006/relationships/header" Target="header4.xml"/><Relationship Id="rId47" Type="http://schemas.openxmlformats.org/officeDocument/2006/relationships/image" Target="media/image30.gif"/><Relationship Id="rId50" Type="http://schemas.openxmlformats.org/officeDocument/2006/relationships/hyperlink" Target="http://www.dep.state.fl.us/air/rules/forms.htm" TargetMode="External"/><Relationship Id="rId55" Type="http://schemas.openxmlformats.org/officeDocument/2006/relationships/footer" Target="footer8.xml"/><Relationship Id="rId63" Type="http://schemas.openxmlformats.org/officeDocument/2006/relationships/footer" Target="footer12.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3.gif"/><Relationship Id="rId20" Type="http://schemas.openxmlformats.org/officeDocument/2006/relationships/image" Target="media/image5.gif"/><Relationship Id="rId29" Type="http://schemas.openxmlformats.org/officeDocument/2006/relationships/image" Target="media/image14.gif"/><Relationship Id="rId41" Type="http://schemas.openxmlformats.org/officeDocument/2006/relationships/image" Target="media/image26.gif"/><Relationship Id="rId54" Type="http://schemas.openxmlformats.org/officeDocument/2006/relationships/header" Target="header7.xml"/><Relationship Id="rId62"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9.gif"/><Relationship Id="rId32" Type="http://schemas.openxmlformats.org/officeDocument/2006/relationships/image" Target="media/image17.gif"/><Relationship Id="rId37" Type="http://schemas.openxmlformats.org/officeDocument/2006/relationships/image" Target="media/image22.gif"/><Relationship Id="rId40" Type="http://schemas.openxmlformats.org/officeDocument/2006/relationships/image" Target="media/image25.gif"/><Relationship Id="rId45" Type="http://schemas.openxmlformats.org/officeDocument/2006/relationships/image" Target="media/image28.gif"/><Relationship Id="rId53" Type="http://schemas.openxmlformats.org/officeDocument/2006/relationships/hyperlink" Target="http://www.epa.gov/ttnchie1/ert/" TargetMode="External"/><Relationship Id="rId58"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image" Target="media/image2.gif"/><Relationship Id="rId23" Type="http://schemas.openxmlformats.org/officeDocument/2006/relationships/image" Target="media/image8.gif"/><Relationship Id="rId28" Type="http://schemas.openxmlformats.org/officeDocument/2006/relationships/image" Target="media/image13.gif"/><Relationship Id="rId36" Type="http://schemas.openxmlformats.org/officeDocument/2006/relationships/image" Target="media/image21.gif"/><Relationship Id="rId49" Type="http://schemas.openxmlformats.org/officeDocument/2006/relationships/footer" Target="footer6.xml"/><Relationship Id="rId57" Type="http://schemas.openxmlformats.org/officeDocument/2006/relationships/footer" Target="footer9.xml"/><Relationship Id="rId61" Type="http://schemas.openxmlformats.org/officeDocument/2006/relationships/footer" Target="footer11.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image" Target="media/image16.gif"/><Relationship Id="rId44" Type="http://schemas.openxmlformats.org/officeDocument/2006/relationships/image" Target="media/image27.gif"/><Relationship Id="rId52" Type="http://schemas.openxmlformats.org/officeDocument/2006/relationships/footer" Target="footer7.xml"/><Relationship Id="rId60" Type="http://schemas.openxmlformats.org/officeDocument/2006/relationships/header" Target="header10.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1.gif"/><Relationship Id="rId22" Type="http://schemas.openxmlformats.org/officeDocument/2006/relationships/image" Target="media/image7.gif"/><Relationship Id="rId27" Type="http://schemas.openxmlformats.org/officeDocument/2006/relationships/image" Target="media/image12.gif"/><Relationship Id="rId30" Type="http://schemas.openxmlformats.org/officeDocument/2006/relationships/image" Target="media/image15.gif"/><Relationship Id="rId35" Type="http://schemas.openxmlformats.org/officeDocument/2006/relationships/image" Target="media/image20.gif"/><Relationship Id="rId43" Type="http://schemas.openxmlformats.org/officeDocument/2006/relationships/footer" Target="footer5.xml"/><Relationship Id="rId48" Type="http://schemas.openxmlformats.org/officeDocument/2006/relationships/header" Target="header5.xml"/><Relationship Id="rId56" Type="http://schemas.openxmlformats.org/officeDocument/2006/relationships/header" Target="header8.xml"/><Relationship Id="rId64"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eader" Target="header6.xml"/><Relationship Id="rId3" Type="http://schemas.openxmlformats.org/officeDocument/2006/relationships/settings" Target="settings.xml"/><Relationship Id="rId12" Type="http://schemas.openxmlformats.org/officeDocument/2006/relationships/hyperlink" Target="https://www.ecfr.gov/cgi-bin/text-idx?SID=f6eaeeb43ab35c0f479c437ba0dfcc25&amp;mc=true&amp;node=sp40.11.63.a&amp;rgn=div6" TargetMode="External"/><Relationship Id="rId17" Type="http://schemas.openxmlformats.org/officeDocument/2006/relationships/image" Target="media/image4.gif"/><Relationship Id="rId25" Type="http://schemas.openxmlformats.org/officeDocument/2006/relationships/image" Target="media/image10.gif"/><Relationship Id="rId33" Type="http://schemas.openxmlformats.org/officeDocument/2006/relationships/image" Target="media/image18.gif"/><Relationship Id="rId38" Type="http://schemas.openxmlformats.org/officeDocument/2006/relationships/image" Target="media/image23.gif"/><Relationship Id="rId46" Type="http://schemas.openxmlformats.org/officeDocument/2006/relationships/image" Target="media/image29.gif"/><Relationship Id="rId59"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277</Pages>
  <Words>121026</Words>
  <Characters>689854</Characters>
  <Application>Microsoft Office Word</Application>
  <DocSecurity>0</DocSecurity>
  <Lines>5748</Lines>
  <Paragraphs>1618</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809262</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Maybin, Leslie</cp:lastModifiedBy>
  <cp:revision>43</cp:revision>
  <cp:lastPrinted>2011-05-09T17:08:00Z</cp:lastPrinted>
  <dcterms:created xsi:type="dcterms:W3CDTF">2014-11-02T05:44:00Z</dcterms:created>
  <dcterms:modified xsi:type="dcterms:W3CDTF">2017-06-05T11:24:00Z</dcterms:modified>
</cp:coreProperties>
</file>